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1D200" w14:textId="0FAA5154" w:rsidR="00FF230E" w:rsidRDefault="00FF230E" w:rsidP="00FF230E">
      <w:pPr>
        <w:spacing w:before="160" w:after="80"/>
        <w:jc w:val="center"/>
        <w:rPr>
          <w:b/>
          <w:bCs/>
          <w:color w:val="1F4E79"/>
          <w:sz w:val="40"/>
          <w:szCs w:val="40"/>
        </w:rPr>
      </w:pPr>
      <w:r>
        <w:rPr>
          <w:noProof/>
        </w:rPr>
        <w:drawing>
          <wp:inline distT="0" distB="0" distL="0" distR="0" wp14:anchorId="13FEC8C1" wp14:editId="3068414C">
            <wp:extent cx="2200275" cy="1581150"/>
            <wp:effectExtent l="0" t="0" r="9525" b="0"/>
            <wp:docPr id="390773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1581150"/>
                    </a:xfrm>
                    <a:prstGeom prst="rect">
                      <a:avLst/>
                    </a:prstGeom>
                    <a:noFill/>
                    <a:ln>
                      <a:noFill/>
                    </a:ln>
                  </pic:spPr>
                </pic:pic>
              </a:graphicData>
            </a:graphic>
          </wp:inline>
        </w:drawing>
      </w:r>
    </w:p>
    <w:p w14:paraId="285668AB" w14:textId="77777777" w:rsidR="00FF230E" w:rsidRDefault="00FF230E" w:rsidP="00FF230E">
      <w:pPr>
        <w:spacing w:before="160" w:after="80"/>
        <w:jc w:val="center"/>
        <w:rPr>
          <w:b/>
          <w:bCs/>
          <w:color w:val="1F4E79"/>
          <w:sz w:val="40"/>
          <w:szCs w:val="40"/>
        </w:rPr>
      </w:pPr>
    </w:p>
    <w:p w14:paraId="2B3DB7FE" w14:textId="77777777" w:rsidR="00FF230E" w:rsidRDefault="00FF230E" w:rsidP="00FF230E">
      <w:pPr>
        <w:spacing w:after="80"/>
        <w:jc w:val="center"/>
      </w:pPr>
      <w:r>
        <w:rPr>
          <w:b/>
          <w:bCs/>
          <w:color w:val="2E75B6"/>
          <w:sz w:val="30"/>
          <w:szCs w:val="30"/>
        </w:rPr>
        <w:t>Meeting Room &amp; Event Space Reference Guide</w:t>
      </w:r>
    </w:p>
    <w:p w14:paraId="79C865C9" w14:textId="77777777" w:rsidR="00FF230E" w:rsidRDefault="00FF230E" w:rsidP="00FF230E">
      <w:pPr>
        <w:spacing w:after="280"/>
        <w:jc w:val="center"/>
      </w:pPr>
      <w:r>
        <w:rPr>
          <w:i/>
          <w:iCs/>
          <w:color w:val="555555"/>
        </w:rPr>
        <w:t xml:space="preserve">Gulf Shores &amp; Orange Beach, </w:t>
      </w:r>
      <w:proofErr w:type="gramStart"/>
      <w:r>
        <w:rPr>
          <w:i/>
          <w:iCs/>
          <w:color w:val="555555"/>
        </w:rPr>
        <w:t>Alabama  |</w:t>
      </w:r>
      <w:proofErr w:type="gramEnd"/>
      <w:r>
        <w:rPr>
          <w:i/>
          <w:iCs/>
          <w:color w:val="555555"/>
        </w:rPr>
        <w:t xml:space="preserve">  June 2026</w:t>
      </w:r>
    </w:p>
    <w:p w14:paraId="1E2AA901" w14:textId="77777777" w:rsidR="00FF230E" w:rsidRDefault="00FF230E" w:rsidP="00FF230E">
      <w:pPr>
        <w:pStyle w:val="Heading1"/>
        <w:pBdr>
          <w:bottom w:val="single" w:sz="8" w:space="4" w:color="2E75B6"/>
        </w:pBdr>
        <w:rPr>
          <w:rFonts w:ascii="Arial" w:eastAsia="Arial" w:hAnsi="Arial" w:cs="Arial"/>
          <w:b/>
          <w:bCs/>
          <w:color w:val="1F4E79"/>
          <w:sz w:val="28"/>
          <w:szCs w:val="28"/>
        </w:rPr>
      </w:pPr>
    </w:p>
    <w:p w14:paraId="17F5BA0C" w14:textId="247E590A" w:rsidR="00FF230E" w:rsidRDefault="00FF230E" w:rsidP="00FF230E">
      <w:pPr>
        <w:pStyle w:val="Heading1"/>
        <w:pBdr>
          <w:bottom w:val="single" w:sz="8" w:space="4" w:color="2E75B6"/>
        </w:pBdr>
      </w:pPr>
      <w:r>
        <w:rPr>
          <w:rFonts w:ascii="Arial" w:eastAsia="Arial" w:hAnsi="Arial" w:cs="Arial"/>
          <w:b/>
          <w:bCs/>
          <w:color w:val="1F4E79"/>
          <w:sz w:val="28"/>
          <w:szCs w:val="28"/>
        </w:rPr>
        <w:t>About Brett Robinson Vacation Rentals</w:t>
      </w:r>
    </w:p>
    <w:p w14:paraId="48EF12BC" w14:textId="77777777" w:rsidR="00FF230E" w:rsidRDefault="00FF230E" w:rsidP="00FF230E">
      <w:pPr>
        <w:spacing w:after="120"/>
        <w:jc w:val="both"/>
      </w:pPr>
      <w:r>
        <w:rPr>
          <w:color w:val="000000"/>
        </w:rPr>
        <w:t>Brett Robinson Vacation Rentals is the Gulf Coast's largest locally owned vacation rental and property management company, with an extensive portfolio of suites and condominiums across Gulf Shores and Orange Beach, Alabama. For more than 40 years, guests have trusted us to deliver outstanding customer service, southern hospitality, and local knowledge with a hands-on, personal touch. Our group sales team specializes in building special experiences at our Phoenix properties for groups of every size — from intimate corporate board meetings to large-scale conferences, weddings, family reunions, sports teams, church groups, and social organizations.</w:t>
      </w:r>
    </w:p>
    <w:p w14:paraId="16AE8EDD" w14:textId="77777777" w:rsidR="00FF230E" w:rsidRDefault="00FF230E" w:rsidP="00FF230E">
      <w:pPr>
        <w:spacing w:before="80"/>
        <w:jc w:val="both"/>
      </w:pPr>
    </w:p>
    <w:p w14:paraId="41AB8296" w14:textId="77777777" w:rsidR="00FF230E" w:rsidRDefault="00FF230E" w:rsidP="00FF230E">
      <w:pPr>
        <w:spacing w:after="120"/>
        <w:jc w:val="both"/>
      </w:pPr>
      <w:r>
        <w:rPr>
          <w:color w:val="000000"/>
        </w:rPr>
        <w:t>Our group sales team works directly with group coordinators, meeting planners, and event organizers to create a seamless Gulf Coast experience. All inquiries and communications are routed through our dedicated group email so we can assign the right team member and build a personalized solution for your group.</w:t>
      </w:r>
    </w:p>
    <w:p w14:paraId="6BBD8736" w14:textId="77777777" w:rsidR="00FF230E" w:rsidRDefault="00FF230E" w:rsidP="00FF230E">
      <w:pPr>
        <w:spacing w:before="120"/>
      </w:pPr>
    </w:p>
    <w:p w14:paraId="60F910D6" w14:textId="77777777" w:rsidR="00FF230E" w:rsidRDefault="00FF230E" w:rsidP="00FF230E">
      <w:pPr>
        <w:pStyle w:val="Heading1"/>
        <w:pBdr>
          <w:bottom w:val="single" w:sz="8" w:space="4" w:color="2E75B6"/>
        </w:pBdr>
      </w:pPr>
      <w:r>
        <w:rPr>
          <w:rFonts w:ascii="Arial" w:eastAsia="Arial" w:hAnsi="Arial" w:cs="Arial"/>
          <w:b/>
          <w:bCs/>
          <w:color w:val="1F4E79"/>
          <w:sz w:val="28"/>
          <w:szCs w:val="28"/>
        </w:rPr>
        <w:t>Why Book with Brett Robinson?</w:t>
      </w:r>
    </w:p>
    <w:p w14:paraId="4E07C313" w14:textId="77777777" w:rsidR="00FF230E" w:rsidRDefault="00FF230E" w:rsidP="00FF230E">
      <w:pPr>
        <w:pStyle w:val="ListParagraph"/>
        <w:numPr>
          <w:ilvl w:val="0"/>
          <w:numId w:val="1"/>
        </w:numPr>
        <w:spacing w:after="80"/>
        <w:contextualSpacing w:val="0"/>
      </w:pPr>
      <w:r>
        <w:t>Largest locally owned portfolio on the Gulf Coast — hundreds of suites available for group blocks</w:t>
      </w:r>
    </w:p>
    <w:p w14:paraId="1AD387DF" w14:textId="77777777" w:rsidR="00FF230E" w:rsidRDefault="00FF230E" w:rsidP="00FF230E">
      <w:pPr>
        <w:pStyle w:val="ListParagraph"/>
        <w:numPr>
          <w:ilvl w:val="0"/>
          <w:numId w:val="1"/>
        </w:numPr>
        <w:spacing w:after="80"/>
        <w:contextualSpacing w:val="0"/>
      </w:pPr>
      <w:r>
        <w:t>24 dedicated meeting and event rooms across 14 Phoenix properties in Gulf Shores and Orange Beach</w:t>
      </w:r>
    </w:p>
    <w:p w14:paraId="401032EE" w14:textId="77777777" w:rsidR="00FF230E" w:rsidRDefault="00FF230E" w:rsidP="00FF230E">
      <w:pPr>
        <w:pStyle w:val="ListParagraph"/>
        <w:numPr>
          <w:ilvl w:val="0"/>
          <w:numId w:val="1"/>
        </w:numPr>
        <w:spacing w:after="80"/>
        <w:contextualSpacing w:val="0"/>
      </w:pPr>
      <w:r>
        <w:t>Dedicated group sales team providing personalized service from inquiry through checkout</w:t>
      </w:r>
    </w:p>
    <w:p w14:paraId="487EA1C9" w14:textId="77777777" w:rsidR="00FF230E" w:rsidRDefault="00FF230E" w:rsidP="00FF230E">
      <w:pPr>
        <w:pStyle w:val="ListParagraph"/>
        <w:numPr>
          <w:ilvl w:val="0"/>
          <w:numId w:val="1"/>
        </w:numPr>
        <w:spacing w:after="80"/>
        <w:contextualSpacing w:val="0"/>
      </w:pPr>
      <w:r>
        <w:t>Flexible catering — all properties allow you to bring the catering partner of your choice</w:t>
      </w:r>
    </w:p>
    <w:p w14:paraId="3D11873E" w14:textId="77777777" w:rsidR="00FF230E" w:rsidRDefault="00FF230E" w:rsidP="00FF230E">
      <w:pPr>
        <w:pStyle w:val="ListParagraph"/>
        <w:numPr>
          <w:ilvl w:val="0"/>
          <w:numId w:val="1"/>
        </w:numPr>
        <w:spacing w:after="80"/>
        <w:contextualSpacing w:val="0"/>
      </w:pPr>
      <w:r>
        <w:t>A/V equipment available at select properties at nominal cost</w:t>
      </w:r>
    </w:p>
    <w:p w14:paraId="647E2C97" w14:textId="77777777" w:rsidR="00FF230E" w:rsidRDefault="00FF230E" w:rsidP="00FF230E">
      <w:pPr>
        <w:pStyle w:val="ListParagraph"/>
        <w:numPr>
          <w:ilvl w:val="0"/>
          <w:numId w:val="1"/>
        </w:numPr>
        <w:spacing w:after="80"/>
        <w:contextualSpacing w:val="0"/>
      </w:pPr>
      <w:r>
        <w:t>Group discounts available on qualifying stays (see Discount Policy below)</w:t>
      </w:r>
    </w:p>
    <w:p w14:paraId="5781793E" w14:textId="77777777" w:rsidR="00FF230E" w:rsidRDefault="00FF230E" w:rsidP="00FF230E">
      <w:pPr>
        <w:pStyle w:val="ListParagraph"/>
        <w:numPr>
          <w:ilvl w:val="0"/>
          <w:numId w:val="1"/>
        </w:numPr>
        <w:spacing w:after="80"/>
        <w:contextualSpacing w:val="0"/>
      </w:pPr>
      <w:r>
        <w:t>Competitive shoulder-season rates ideal for corporate retreats, church trips, and civic groups</w:t>
      </w:r>
    </w:p>
    <w:p w14:paraId="1D1517F1" w14:textId="77777777" w:rsidR="00FF230E" w:rsidRDefault="00FF230E" w:rsidP="00FF230E">
      <w:pPr>
        <w:pStyle w:val="ListParagraph"/>
        <w:numPr>
          <w:ilvl w:val="0"/>
          <w:numId w:val="1"/>
        </w:numPr>
        <w:spacing w:before="160" w:after="80"/>
        <w:contextualSpacing w:val="0"/>
      </w:pPr>
      <w:r>
        <w:t>Complimentary b</w:t>
      </w:r>
      <w:r w:rsidRPr="00366E7D">
        <w:t xml:space="preserve">each ceremony location </w:t>
      </w:r>
      <w:r>
        <w:t xml:space="preserve">provided </w:t>
      </w:r>
      <w:r w:rsidRPr="00366E7D">
        <w:t xml:space="preserve">for qualifying groups. Ceremony rentals and services—including chairs, arches/altars, decorations, and officiant services—are available </w:t>
      </w:r>
      <w:r>
        <w:t>from multiple vendors.</w:t>
      </w:r>
    </w:p>
    <w:p w14:paraId="4D4438EA" w14:textId="77777777" w:rsidR="00FF230E" w:rsidRDefault="00FF230E" w:rsidP="00FF230E">
      <w:pPr>
        <w:pStyle w:val="Heading1"/>
        <w:pBdr>
          <w:bottom w:val="single" w:sz="8" w:space="4" w:color="2E75B6"/>
        </w:pBdr>
      </w:pPr>
      <w:r>
        <w:rPr>
          <w:rFonts w:ascii="Arial" w:eastAsia="Arial" w:hAnsi="Arial" w:cs="Arial"/>
          <w:b/>
          <w:bCs/>
          <w:color w:val="1F4E79"/>
          <w:sz w:val="28"/>
          <w:szCs w:val="28"/>
        </w:rPr>
        <w:lastRenderedPageBreak/>
        <w:t>Meeting Room Capabilities &amp; Rates</w:t>
      </w: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0"/>
        <w:gridCol w:w="1195"/>
        <w:gridCol w:w="710"/>
        <w:gridCol w:w="815"/>
        <w:gridCol w:w="1079"/>
        <w:gridCol w:w="753"/>
        <w:gridCol w:w="847"/>
        <w:gridCol w:w="947"/>
        <w:gridCol w:w="830"/>
        <w:gridCol w:w="830"/>
        <w:gridCol w:w="822"/>
      </w:tblGrid>
      <w:tr w:rsidR="00FF230E" w14:paraId="30A7F824" w14:textId="77777777" w:rsidTr="002574B3">
        <w:tblPrEx>
          <w:tblCellMar>
            <w:top w:w="0" w:type="dxa"/>
            <w:bottom w:w="0" w:type="dxa"/>
          </w:tblCellMar>
        </w:tblPrEx>
        <w:trPr>
          <w:tblHeader/>
        </w:trPr>
        <w:tc>
          <w:tcPr>
            <w:tcW w:w="1790"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4D4843F8" w14:textId="77777777" w:rsidR="00FF230E" w:rsidRDefault="00FF230E" w:rsidP="002574B3">
            <w:r>
              <w:rPr>
                <w:b/>
                <w:bCs/>
                <w:color w:val="FFFFFF"/>
                <w:sz w:val="17"/>
                <w:szCs w:val="17"/>
              </w:rPr>
              <w:t>Property</w:t>
            </w:r>
          </w:p>
        </w:tc>
        <w:tc>
          <w:tcPr>
            <w:tcW w:w="1195"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68646E90" w14:textId="77777777" w:rsidR="00FF230E" w:rsidRDefault="00FF230E" w:rsidP="002574B3">
            <w:r>
              <w:rPr>
                <w:b/>
                <w:bCs/>
                <w:color w:val="FFFFFF"/>
                <w:sz w:val="17"/>
                <w:szCs w:val="17"/>
              </w:rPr>
              <w:t>Dimensions</w:t>
            </w:r>
          </w:p>
        </w:tc>
        <w:tc>
          <w:tcPr>
            <w:tcW w:w="710"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6FF2729C" w14:textId="77777777" w:rsidR="00FF230E" w:rsidRDefault="00FF230E" w:rsidP="002574B3">
            <w:r>
              <w:rPr>
                <w:b/>
                <w:bCs/>
                <w:color w:val="FFFFFF"/>
                <w:sz w:val="17"/>
                <w:szCs w:val="17"/>
              </w:rPr>
              <w:t>Sq Ft</w:t>
            </w:r>
          </w:p>
        </w:tc>
        <w:tc>
          <w:tcPr>
            <w:tcW w:w="815"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4323C4E1" w14:textId="77777777" w:rsidR="00FF230E" w:rsidRDefault="00FF230E" w:rsidP="002574B3">
            <w:r>
              <w:rPr>
                <w:b/>
                <w:bCs/>
                <w:color w:val="FFFFFF"/>
                <w:sz w:val="17"/>
                <w:szCs w:val="17"/>
              </w:rPr>
              <w:t>Theater</w:t>
            </w:r>
          </w:p>
        </w:tc>
        <w:tc>
          <w:tcPr>
            <w:tcW w:w="1079"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4E44CF78" w14:textId="77777777" w:rsidR="00FF230E" w:rsidRDefault="00FF230E" w:rsidP="002574B3">
            <w:r>
              <w:rPr>
                <w:b/>
                <w:bCs/>
                <w:color w:val="FFFFFF"/>
                <w:sz w:val="17"/>
                <w:szCs w:val="17"/>
              </w:rPr>
              <w:t>Classroom</w:t>
            </w:r>
          </w:p>
        </w:tc>
        <w:tc>
          <w:tcPr>
            <w:tcW w:w="753"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40D7FF5E" w14:textId="77777777" w:rsidR="00FF230E" w:rsidRDefault="00FF230E" w:rsidP="002574B3">
            <w:r>
              <w:rPr>
                <w:b/>
                <w:bCs/>
                <w:color w:val="FFFFFF"/>
                <w:sz w:val="17"/>
                <w:szCs w:val="17"/>
              </w:rPr>
              <w:t>U-Shape</w:t>
            </w:r>
          </w:p>
        </w:tc>
        <w:tc>
          <w:tcPr>
            <w:tcW w:w="847"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396C8BA5" w14:textId="77777777" w:rsidR="00FF230E" w:rsidRDefault="00FF230E" w:rsidP="002574B3">
            <w:r>
              <w:rPr>
                <w:b/>
                <w:bCs/>
                <w:color w:val="FFFFFF"/>
                <w:sz w:val="17"/>
                <w:szCs w:val="17"/>
              </w:rPr>
              <w:t>Hollow Square</w:t>
            </w:r>
          </w:p>
        </w:tc>
        <w:tc>
          <w:tcPr>
            <w:tcW w:w="947"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14361242" w14:textId="77777777" w:rsidR="00FF230E" w:rsidRDefault="00FF230E" w:rsidP="002574B3">
            <w:r>
              <w:rPr>
                <w:b/>
                <w:bCs/>
                <w:color w:val="FFFFFF"/>
                <w:sz w:val="17"/>
                <w:szCs w:val="17"/>
              </w:rPr>
              <w:t>Banquet*</w:t>
            </w:r>
          </w:p>
        </w:tc>
        <w:tc>
          <w:tcPr>
            <w:tcW w:w="830"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7967353B" w14:textId="77777777" w:rsidR="00FF230E" w:rsidRDefault="00FF230E" w:rsidP="002574B3">
            <w:r>
              <w:rPr>
                <w:b/>
                <w:bCs/>
                <w:color w:val="FFFFFF"/>
                <w:sz w:val="17"/>
                <w:szCs w:val="17"/>
              </w:rPr>
              <w:t>AM Rate†</w:t>
            </w:r>
          </w:p>
        </w:tc>
        <w:tc>
          <w:tcPr>
            <w:tcW w:w="830"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07720EAD" w14:textId="77777777" w:rsidR="00FF230E" w:rsidRDefault="00FF230E" w:rsidP="002574B3">
            <w:r>
              <w:rPr>
                <w:b/>
                <w:bCs/>
                <w:color w:val="FFFFFF"/>
                <w:sz w:val="17"/>
                <w:szCs w:val="17"/>
              </w:rPr>
              <w:t>PM Rate†</w:t>
            </w:r>
          </w:p>
        </w:tc>
        <w:tc>
          <w:tcPr>
            <w:tcW w:w="822"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3DA9A83D" w14:textId="77777777" w:rsidR="00FF230E" w:rsidRDefault="00FF230E" w:rsidP="002574B3">
            <w:r>
              <w:rPr>
                <w:b/>
                <w:bCs/>
                <w:color w:val="FFFFFF"/>
                <w:sz w:val="17"/>
                <w:szCs w:val="17"/>
              </w:rPr>
              <w:t>Full Day†</w:t>
            </w:r>
          </w:p>
        </w:tc>
      </w:tr>
      <w:tr w:rsidR="00FF230E" w14:paraId="1B267E1B" w14:textId="77777777" w:rsidTr="002574B3">
        <w:tblPrEx>
          <w:tblCellMar>
            <w:top w:w="0" w:type="dxa"/>
            <w:bottom w:w="0" w:type="dxa"/>
          </w:tblCellMar>
        </w:tblPrEx>
        <w:tc>
          <w:tcPr>
            <w:tcW w:w="1790" w:type="dxa"/>
            <w:vMerge w:val="restart"/>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6E73799" w14:textId="77777777" w:rsidR="00FF230E" w:rsidRDefault="00FF230E" w:rsidP="002574B3">
            <w:r>
              <w:rPr>
                <w:b/>
                <w:bCs/>
                <w:color w:val="000000"/>
                <w:sz w:val="18"/>
                <w:szCs w:val="18"/>
              </w:rPr>
              <w:t>Phoenix I</w:t>
            </w:r>
          </w:p>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F4CBD19" w14:textId="77777777" w:rsidR="00FF230E" w:rsidRDefault="00FF230E" w:rsidP="002574B3">
            <w:pPr>
              <w:jc w:val="center"/>
            </w:pPr>
            <w:r>
              <w:rPr>
                <w:color w:val="000000"/>
                <w:sz w:val="18"/>
                <w:szCs w:val="18"/>
              </w:rPr>
              <w:t>21 × 11.8</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DFF6417" w14:textId="77777777" w:rsidR="00FF230E" w:rsidRDefault="00FF230E" w:rsidP="002574B3">
            <w:pPr>
              <w:jc w:val="center"/>
            </w:pPr>
            <w:r>
              <w:rPr>
                <w:color w:val="000000"/>
                <w:sz w:val="18"/>
                <w:szCs w:val="18"/>
              </w:rPr>
              <w:t>500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9AF916E" w14:textId="77777777" w:rsidR="00FF230E" w:rsidRDefault="00FF230E" w:rsidP="002574B3">
            <w:pPr>
              <w:jc w:val="center"/>
            </w:pPr>
            <w:r>
              <w:rPr>
                <w:color w:val="000000"/>
                <w:sz w:val="18"/>
                <w:szCs w:val="18"/>
              </w:rPr>
              <w:t>35</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F6B2951" w14:textId="77777777" w:rsidR="00FF230E" w:rsidRDefault="00FF230E" w:rsidP="002574B3">
            <w:pPr>
              <w:jc w:val="center"/>
            </w:pPr>
            <w:r>
              <w:rPr>
                <w:color w:val="000000"/>
                <w:sz w:val="18"/>
                <w:szCs w:val="18"/>
              </w:rPr>
              <w:t>16</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D1CC1AC" w14:textId="77777777" w:rsidR="00FF230E" w:rsidRDefault="00FF230E" w:rsidP="002574B3">
            <w:pPr>
              <w:jc w:val="center"/>
            </w:pPr>
            <w:r>
              <w:rPr>
                <w:color w:val="000000"/>
                <w:sz w:val="18"/>
                <w:szCs w:val="18"/>
              </w:rPr>
              <w:t>16</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33EB4A1" w14:textId="77777777" w:rsidR="00FF230E" w:rsidRDefault="00FF230E" w:rsidP="002574B3">
            <w:pPr>
              <w:jc w:val="center"/>
            </w:pPr>
            <w:r>
              <w:rPr>
                <w:color w:val="000000"/>
                <w:sz w:val="18"/>
                <w:szCs w:val="18"/>
              </w:rPr>
              <w:t>16</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7A479D3" w14:textId="77777777" w:rsidR="00FF230E" w:rsidRDefault="00FF230E" w:rsidP="002574B3">
            <w:pPr>
              <w:jc w:val="center"/>
            </w:pPr>
            <w:r>
              <w:rPr>
                <w:color w:val="000000"/>
                <w:sz w:val="18"/>
                <w:szCs w:val="18"/>
              </w:rPr>
              <w:t>25</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BE27EE1"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B2A2E72" w14:textId="77777777" w:rsidR="00FF230E" w:rsidRDefault="00FF230E" w:rsidP="002574B3">
            <w:pPr>
              <w:jc w:val="center"/>
            </w:pPr>
            <w:r>
              <w:rPr>
                <w:color w:val="000000"/>
                <w:sz w:val="18"/>
                <w:szCs w:val="18"/>
              </w:rPr>
              <w:t>$60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C44816F" w14:textId="77777777" w:rsidR="00FF230E" w:rsidRDefault="00FF230E" w:rsidP="002574B3">
            <w:pPr>
              <w:jc w:val="center"/>
            </w:pPr>
            <w:r>
              <w:rPr>
                <w:color w:val="000000"/>
                <w:sz w:val="18"/>
                <w:szCs w:val="18"/>
              </w:rPr>
              <w:t>$100</w:t>
            </w:r>
          </w:p>
        </w:tc>
      </w:tr>
      <w:tr w:rsidR="00FF230E" w14:paraId="2A7D9479"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tcPr>
          <w:p w14:paraId="2EC0922C"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CB47CF3" w14:textId="77777777" w:rsidR="00FF230E" w:rsidRDefault="00FF230E" w:rsidP="002574B3">
            <w:pPr>
              <w:jc w:val="center"/>
            </w:pPr>
            <w:r>
              <w:rPr>
                <w:color w:val="000000"/>
                <w:sz w:val="18"/>
                <w:szCs w:val="18"/>
              </w:rPr>
              <w:t>21 × 40</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32A3D63" w14:textId="77777777" w:rsidR="00FF230E" w:rsidRDefault="00FF230E" w:rsidP="002574B3">
            <w:pPr>
              <w:jc w:val="center"/>
            </w:pPr>
            <w:r>
              <w:rPr>
                <w:color w:val="000000"/>
                <w:sz w:val="18"/>
                <w:szCs w:val="18"/>
              </w:rPr>
              <w:t>800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681C0E7" w14:textId="77777777" w:rsidR="00FF230E" w:rsidRDefault="00FF230E" w:rsidP="002574B3">
            <w:pPr>
              <w:jc w:val="center"/>
            </w:pPr>
            <w:r>
              <w:rPr>
                <w:color w:val="000000"/>
                <w:sz w:val="18"/>
                <w:szCs w:val="18"/>
              </w:rPr>
              <w:t>60</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AD231C3" w14:textId="77777777" w:rsidR="00FF230E" w:rsidRDefault="00FF230E" w:rsidP="002574B3">
            <w:pPr>
              <w:jc w:val="center"/>
            </w:pPr>
            <w:r>
              <w:rPr>
                <w:color w:val="000000"/>
                <w:sz w:val="18"/>
                <w:szCs w:val="18"/>
              </w:rPr>
              <w:t>44</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CCBE97E" w14:textId="77777777" w:rsidR="00FF230E" w:rsidRDefault="00FF230E" w:rsidP="002574B3">
            <w:pPr>
              <w:jc w:val="center"/>
            </w:pPr>
            <w:r>
              <w:rPr>
                <w:color w:val="000000"/>
                <w:sz w:val="18"/>
                <w:szCs w:val="18"/>
              </w:rPr>
              <w:t>20</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5C976F1" w14:textId="77777777" w:rsidR="00FF230E" w:rsidRDefault="00FF230E" w:rsidP="002574B3">
            <w:pPr>
              <w:jc w:val="center"/>
            </w:pPr>
            <w:r>
              <w:rPr>
                <w:color w:val="000000"/>
                <w:sz w:val="18"/>
                <w:szCs w:val="18"/>
              </w:rPr>
              <w:t>20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CE4D22B" w14:textId="77777777" w:rsidR="00FF230E" w:rsidRDefault="00FF230E" w:rsidP="002574B3">
            <w:pPr>
              <w:jc w:val="center"/>
            </w:pPr>
            <w:r>
              <w:rPr>
                <w:color w:val="000000"/>
                <w:sz w:val="18"/>
                <w:szCs w:val="18"/>
              </w:rPr>
              <w:t>40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15F948F" w14:textId="77777777" w:rsidR="00FF230E" w:rsidRDefault="00FF230E" w:rsidP="002574B3">
            <w:pPr>
              <w:jc w:val="center"/>
            </w:pPr>
            <w:r>
              <w:rPr>
                <w:color w:val="000000"/>
                <w:sz w:val="18"/>
                <w:szCs w:val="18"/>
              </w:rPr>
              <w:t>$90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AD32317" w14:textId="77777777" w:rsidR="00FF230E" w:rsidRDefault="00FF230E" w:rsidP="002574B3">
            <w:pPr>
              <w:jc w:val="center"/>
            </w:pPr>
            <w:r>
              <w:rPr>
                <w:color w:val="000000"/>
                <w:sz w:val="18"/>
                <w:szCs w:val="18"/>
              </w:rPr>
              <w:t>$90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0F60DD5" w14:textId="77777777" w:rsidR="00FF230E" w:rsidRDefault="00FF230E" w:rsidP="002574B3">
            <w:pPr>
              <w:jc w:val="center"/>
            </w:pPr>
            <w:r>
              <w:rPr>
                <w:color w:val="000000"/>
                <w:sz w:val="18"/>
                <w:szCs w:val="18"/>
              </w:rPr>
              <w:t>$150</w:t>
            </w:r>
          </w:p>
        </w:tc>
      </w:tr>
      <w:tr w:rsidR="00FF230E" w14:paraId="1D682694" w14:textId="77777777" w:rsidTr="002574B3">
        <w:tblPrEx>
          <w:tblCellMar>
            <w:top w:w="0" w:type="dxa"/>
            <w:bottom w:w="0" w:type="dxa"/>
          </w:tblCellMar>
        </w:tblPrEx>
        <w:tc>
          <w:tcPr>
            <w:tcW w:w="179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EB5B59B" w14:textId="77777777" w:rsidR="00FF230E" w:rsidRDefault="00FF230E" w:rsidP="002574B3">
            <w:r>
              <w:rPr>
                <w:b/>
                <w:bCs/>
                <w:color w:val="000000"/>
                <w:sz w:val="18"/>
                <w:szCs w:val="18"/>
              </w:rPr>
              <w:t>Phoenix II</w:t>
            </w:r>
          </w:p>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C04D85F" w14:textId="77777777" w:rsidR="00FF230E" w:rsidRDefault="00FF230E" w:rsidP="002574B3">
            <w:pPr>
              <w:jc w:val="center"/>
            </w:pPr>
            <w:r>
              <w:rPr>
                <w:color w:val="000000"/>
                <w:sz w:val="18"/>
                <w:szCs w:val="18"/>
              </w:rPr>
              <w:t>21 × 40</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0ED7EEB" w14:textId="77777777" w:rsidR="00FF230E" w:rsidRDefault="00FF230E" w:rsidP="002574B3">
            <w:pPr>
              <w:jc w:val="center"/>
            </w:pPr>
            <w:r>
              <w:rPr>
                <w:color w:val="000000"/>
                <w:sz w:val="18"/>
                <w:szCs w:val="18"/>
              </w:rPr>
              <w:t>800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22ABF03" w14:textId="77777777" w:rsidR="00FF230E" w:rsidRDefault="00FF230E" w:rsidP="002574B3">
            <w:pPr>
              <w:jc w:val="center"/>
            </w:pPr>
            <w:r>
              <w:rPr>
                <w:color w:val="000000"/>
                <w:sz w:val="18"/>
                <w:szCs w:val="18"/>
              </w:rPr>
              <w:t>60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CEE8E0F" w14:textId="77777777" w:rsidR="00FF230E" w:rsidRDefault="00FF230E" w:rsidP="002574B3">
            <w:pPr>
              <w:jc w:val="center"/>
            </w:pPr>
            <w:r>
              <w:rPr>
                <w:color w:val="000000"/>
                <w:sz w:val="18"/>
                <w:szCs w:val="18"/>
              </w:rPr>
              <w:t>44</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6CCC997" w14:textId="77777777" w:rsidR="00FF230E" w:rsidRDefault="00FF230E" w:rsidP="002574B3">
            <w:pPr>
              <w:jc w:val="center"/>
            </w:pPr>
            <w:r>
              <w:rPr>
                <w:color w:val="000000"/>
                <w:sz w:val="18"/>
                <w:szCs w:val="18"/>
              </w:rPr>
              <w:t>20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95E6E29" w14:textId="77777777" w:rsidR="00FF230E" w:rsidRDefault="00FF230E" w:rsidP="002574B3">
            <w:pPr>
              <w:jc w:val="center"/>
            </w:pPr>
            <w:r>
              <w:rPr>
                <w:color w:val="000000"/>
                <w:sz w:val="18"/>
                <w:szCs w:val="18"/>
              </w:rPr>
              <w:t>20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6B4FF98" w14:textId="77777777" w:rsidR="00FF230E" w:rsidRDefault="00FF230E" w:rsidP="002574B3">
            <w:pPr>
              <w:jc w:val="center"/>
            </w:pPr>
            <w:r>
              <w:rPr>
                <w:color w:val="000000"/>
                <w:sz w:val="18"/>
                <w:szCs w:val="18"/>
              </w:rPr>
              <w:t>40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8BE6F38" w14:textId="77777777" w:rsidR="00FF230E" w:rsidRDefault="00FF230E" w:rsidP="002574B3">
            <w:pPr>
              <w:jc w:val="center"/>
            </w:pPr>
            <w:r>
              <w:rPr>
                <w:color w:val="000000"/>
                <w:sz w:val="18"/>
                <w:szCs w:val="18"/>
              </w:rPr>
              <w:t>$90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CBD7AB4" w14:textId="77777777" w:rsidR="00FF230E" w:rsidRDefault="00FF230E" w:rsidP="002574B3">
            <w:pPr>
              <w:jc w:val="center"/>
            </w:pPr>
            <w:r>
              <w:rPr>
                <w:color w:val="000000"/>
                <w:sz w:val="18"/>
                <w:szCs w:val="18"/>
              </w:rPr>
              <w:t>$90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C19308B" w14:textId="77777777" w:rsidR="00FF230E" w:rsidRDefault="00FF230E" w:rsidP="002574B3">
            <w:pPr>
              <w:jc w:val="center"/>
            </w:pPr>
            <w:r>
              <w:rPr>
                <w:color w:val="000000"/>
                <w:sz w:val="18"/>
                <w:szCs w:val="18"/>
              </w:rPr>
              <w:t>$150</w:t>
            </w:r>
          </w:p>
        </w:tc>
      </w:tr>
      <w:tr w:rsidR="00FF230E" w14:paraId="19A86E1E" w14:textId="77777777" w:rsidTr="002574B3">
        <w:tblPrEx>
          <w:tblCellMar>
            <w:top w:w="0" w:type="dxa"/>
            <w:bottom w:w="0" w:type="dxa"/>
          </w:tblCellMar>
        </w:tblPrEx>
        <w:tc>
          <w:tcPr>
            <w:tcW w:w="179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F9CCCC3" w14:textId="77777777" w:rsidR="00FF230E" w:rsidRDefault="00FF230E" w:rsidP="002574B3">
            <w:r>
              <w:rPr>
                <w:b/>
                <w:bCs/>
                <w:color w:val="000000"/>
                <w:sz w:val="18"/>
                <w:szCs w:val="18"/>
              </w:rPr>
              <w:t>Phoenix III</w:t>
            </w:r>
          </w:p>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D683C3D" w14:textId="77777777" w:rsidR="00FF230E" w:rsidRDefault="00FF230E" w:rsidP="002574B3">
            <w:pPr>
              <w:jc w:val="center"/>
            </w:pPr>
            <w:r>
              <w:rPr>
                <w:color w:val="000000"/>
                <w:sz w:val="18"/>
                <w:szCs w:val="18"/>
              </w:rPr>
              <w:t>21 × 40</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2DBE37A" w14:textId="77777777" w:rsidR="00FF230E" w:rsidRDefault="00FF230E" w:rsidP="002574B3">
            <w:pPr>
              <w:jc w:val="center"/>
            </w:pPr>
            <w:r>
              <w:rPr>
                <w:color w:val="000000"/>
                <w:sz w:val="18"/>
                <w:szCs w:val="18"/>
              </w:rPr>
              <w:t>800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8B287C6" w14:textId="77777777" w:rsidR="00FF230E" w:rsidRDefault="00FF230E" w:rsidP="002574B3">
            <w:pPr>
              <w:jc w:val="center"/>
            </w:pPr>
            <w:r>
              <w:rPr>
                <w:color w:val="000000"/>
                <w:sz w:val="18"/>
                <w:szCs w:val="18"/>
              </w:rPr>
              <w:t>60</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40FA992" w14:textId="77777777" w:rsidR="00FF230E" w:rsidRDefault="00FF230E" w:rsidP="002574B3">
            <w:pPr>
              <w:jc w:val="center"/>
            </w:pPr>
            <w:r>
              <w:rPr>
                <w:color w:val="000000"/>
                <w:sz w:val="18"/>
                <w:szCs w:val="18"/>
              </w:rPr>
              <w:t>44</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7E91C6F" w14:textId="77777777" w:rsidR="00FF230E" w:rsidRDefault="00FF230E" w:rsidP="002574B3">
            <w:pPr>
              <w:jc w:val="center"/>
            </w:pPr>
            <w:r>
              <w:rPr>
                <w:color w:val="000000"/>
                <w:sz w:val="18"/>
                <w:szCs w:val="18"/>
              </w:rPr>
              <w:t>20</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4F4925D" w14:textId="77777777" w:rsidR="00FF230E" w:rsidRDefault="00FF230E" w:rsidP="002574B3">
            <w:pPr>
              <w:jc w:val="center"/>
            </w:pPr>
            <w:r>
              <w:rPr>
                <w:color w:val="000000"/>
                <w:sz w:val="18"/>
                <w:szCs w:val="18"/>
              </w:rPr>
              <w:t>20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59FAA91" w14:textId="77777777" w:rsidR="00FF230E" w:rsidRDefault="00FF230E" w:rsidP="002574B3">
            <w:pPr>
              <w:jc w:val="center"/>
            </w:pPr>
            <w:r>
              <w:rPr>
                <w:color w:val="000000"/>
                <w:sz w:val="18"/>
                <w:szCs w:val="18"/>
              </w:rPr>
              <w:t>40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95F39AB" w14:textId="77777777" w:rsidR="00FF230E" w:rsidRDefault="00FF230E" w:rsidP="002574B3">
            <w:pPr>
              <w:jc w:val="center"/>
            </w:pPr>
            <w:r>
              <w:rPr>
                <w:color w:val="000000"/>
                <w:sz w:val="18"/>
                <w:szCs w:val="18"/>
              </w:rPr>
              <w:t>$90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534296B" w14:textId="77777777" w:rsidR="00FF230E" w:rsidRDefault="00FF230E" w:rsidP="002574B3">
            <w:pPr>
              <w:jc w:val="center"/>
            </w:pPr>
            <w:r>
              <w:rPr>
                <w:color w:val="000000"/>
                <w:sz w:val="18"/>
                <w:szCs w:val="18"/>
              </w:rPr>
              <w:t>$90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D25AE9C" w14:textId="77777777" w:rsidR="00FF230E" w:rsidRDefault="00FF230E" w:rsidP="002574B3">
            <w:pPr>
              <w:jc w:val="center"/>
            </w:pPr>
            <w:r>
              <w:rPr>
                <w:color w:val="000000"/>
                <w:sz w:val="18"/>
                <w:szCs w:val="18"/>
              </w:rPr>
              <w:t>$150</w:t>
            </w:r>
          </w:p>
        </w:tc>
      </w:tr>
      <w:tr w:rsidR="00FF230E" w14:paraId="5E498948" w14:textId="77777777" w:rsidTr="002574B3">
        <w:tblPrEx>
          <w:tblCellMar>
            <w:top w:w="0" w:type="dxa"/>
            <w:bottom w:w="0" w:type="dxa"/>
          </w:tblCellMar>
        </w:tblPrEx>
        <w:tc>
          <w:tcPr>
            <w:tcW w:w="1790" w:type="dxa"/>
            <w:vMerge w:val="restart"/>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D952766" w14:textId="77777777" w:rsidR="00FF230E" w:rsidRDefault="00FF230E" w:rsidP="002574B3">
            <w:r>
              <w:rPr>
                <w:b/>
                <w:bCs/>
                <w:color w:val="000000"/>
                <w:sz w:val="18"/>
                <w:szCs w:val="18"/>
              </w:rPr>
              <w:t>Phoenix VI</w:t>
            </w:r>
          </w:p>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E155E3B" w14:textId="77777777" w:rsidR="00FF230E" w:rsidRDefault="00FF230E" w:rsidP="002574B3">
            <w:pPr>
              <w:jc w:val="center"/>
            </w:pPr>
            <w:r>
              <w:rPr>
                <w:color w:val="000000"/>
                <w:sz w:val="18"/>
                <w:szCs w:val="18"/>
              </w:rPr>
              <w:t>20 × 23</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4CCBFBE" w14:textId="77777777" w:rsidR="00FF230E" w:rsidRDefault="00FF230E" w:rsidP="002574B3">
            <w:pPr>
              <w:jc w:val="center"/>
            </w:pPr>
            <w:r>
              <w:rPr>
                <w:color w:val="000000"/>
                <w:sz w:val="18"/>
                <w:szCs w:val="18"/>
              </w:rPr>
              <w:t>500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DE4D2B6" w14:textId="77777777" w:rsidR="00FF230E" w:rsidRDefault="00FF230E" w:rsidP="002574B3">
            <w:pPr>
              <w:jc w:val="center"/>
            </w:pPr>
            <w:r>
              <w:rPr>
                <w:color w:val="000000"/>
                <w:sz w:val="18"/>
                <w:szCs w:val="18"/>
              </w:rPr>
              <w:t>25</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E745F2A" w14:textId="77777777" w:rsidR="00FF230E" w:rsidRDefault="00FF230E" w:rsidP="002574B3">
            <w:pPr>
              <w:jc w:val="center"/>
            </w:pPr>
            <w:r>
              <w:rPr>
                <w:color w:val="000000"/>
                <w:sz w:val="18"/>
                <w:szCs w:val="18"/>
              </w:rPr>
              <w:t>18</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173C04E" w14:textId="77777777" w:rsidR="00FF230E" w:rsidRDefault="00FF230E" w:rsidP="002574B3">
            <w:pPr>
              <w:jc w:val="center"/>
            </w:pPr>
            <w:r>
              <w:rPr>
                <w:color w:val="000000"/>
                <w:sz w:val="18"/>
                <w:szCs w:val="18"/>
              </w:rPr>
              <w:t>12</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0A50F21" w14:textId="77777777" w:rsidR="00FF230E" w:rsidRDefault="00FF230E" w:rsidP="002574B3">
            <w:pPr>
              <w:jc w:val="center"/>
            </w:pPr>
            <w:r>
              <w:rPr>
                <w:color w:val="000000"/>
                <w:sz w:val="18"/>
                <w:szCs w:val="18"/>
              </w:rPr>
              <w:t>20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74257ED" w14:textId="77777777" w:rsidR="00FF230E" w:rsidRDefault="00FF230E" w:rsidP="002574B3">
            <w:pPr>
              <w:jc w:val="center"/>
            </w:pPr>
            <w:r>
              <w:rPr>
                <w:color w:val="000000"/>
                <w:sz w:val="18"/>
                <w:szCs w:val="18"/>
              </w:rPr>
              <w:t>25</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7341CD3" w14:textId="77777777" w:rsidR="00FF230E" w:rsidRDefault="00FF230E" w:rsidP="002574B3">
            <w:pPr>
              <w:jc w:val="center"/>
            </w:pPr>
            <w:r>
              <w:rPr>
                <w:color w:val="000000"/>
                <w:sz w:val="18"/>
                <w:szCs w:val="18"/>
              </w:rPr>
              <w:t>$45</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542C2EA" w14:textId="77777777" w:rsidR="00FF230E" w:rsidRDefault="00FF230E" w:rsidP="002574B3">
            <w:pPr>
              <w:jc w:val="center"/>
            </w:pPr>
            <w:r>
              <w:rPr>
                <w:color w:val="000000"/>
                <w:sz w:val="18"/>
                <w:szCs w:val="18"/>
              </w:rPr>
              <w:t>$45</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D3C5304" w14:textId="77777777" w:rsidR="00FF230E" w:rsidRDefault="00FF230E" w:rsidP="002574B3">
            <w:pPr>
              <w:jc w:val="center"/>
            </w:pPr>
            <w:r>
              <w:rPr>
                <w:color w:val="000000"/>
                <w:sz w:val="18"/>
                <w:szCs w:val="18"/>
              </w:rPr>
              <w:t>$75</w:t>
            </w:r>
          </w:p>
        </w:tc>
      </w:tr>
      <w:tr w:rsidR="00FF230E" w14:paraId="3BAFE49F"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shd w:val="clear" w:color="auto" w:fill="DAE9F7" w:themeFill="text2" w:themeFillTint="1A"/>
          </w:tcPr>
          <w:p w14:paraId="46247E46"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10D2B96" w14:textId="77777777" w:rsidR="00FF230E" w:rsidRDefault="00FF230E" w:rsidP="002574B3">
            <w:pPr>
              <w:jc w:val="center"/>
            </w:pPr>
            <w:r>
              <w:rPr>
                <w:color w:val="000000"/>
                <w:sz w:val="18"/>
                <w:szCs w:val="18"/>
              </w:rPr>
              <w:t>23 × 60</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14DB909" w14:textId="77777777" w:rsidR="00FF230E" w:rsidRDefault="00FF230E" w:rsidP="002574B3">
            <w:pPr>
              <w:jc w:val="center"/>
            </w:pPr>
            <w:r>
              <w:rPr>
                <w:color w:val="000000"/>
                <w:sz w:val="18"/>
                <w:szCs w:val="18"/>
              </w:rPr>
              <w:t>1,530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DC07A2B"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C1B9836" w14:textId="77777777" w:rsidR="00FF230E" w:rsidRDefault="00FF230E" w:rsidP="002574B3">
            <w:pPr>
              <w:jc w:val="center"/>
            </w:pPr>
            <w:r>
              <w:rPr>
                <w:color w:val="000000"/>
                <w:sz w:val="18"/>
                <w:szCs w:val="18"/>
              </w:rPr>
              <w:t>75</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9AB5297"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C8C582D" w14:textId="77777777" w:rsidR="00FF230E" w:rsidRDefault="00FF230E" w:rsidP="002574B3">
            <w:pPr>
              <w:jc w:val="center"/>
            </w:pPr>
            <w:r>
              <w:rPr>
                <w:color w:val="000000"/>
                <w:sz w:val="18"/>
                <w:szCs w:val="18"/>
              </w:rPr>
              <w:t>40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F1F90C9"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9025214" w14:textId="77777777" w:rsidR="00FF230E" w:rsidRDefault="00FF230E" w:rsidP="002574B3">
            <w:pPr>
              <w:jc w:val="center"/>
            </w:pPr>
            <w:r>
              <w:rPr>
                <w:color w:val="000000"/>
                <w:sz w:val="18"/>
                <w:szCs w:val="18"/>
              </w:rPr>
              <w:t>$120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91381D6" w14:textId="77777777" w:rsidR="00FF230E" w:rsidRDefault="00FF230E" w:rsidP="002574B3">
            <w:pPr>
              <w:jc w:val="center"/>
            </w:pPr>
            <w:r>
              <w:rPr>
                <w:color w:val="000000"/>
                <w:sz w:val="18"/>
                <w:szCs w:val="18"/>
              </w:rPr>
              <w:t>$120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C68CDE6" w14:textId="77777777" w:rsidR="00FF230E" w:rsidRDefault="00FF230E" w:rsidP="002574B3">
            <w:pPr>
              <w:jc w:val="center"/>
            </w:pPr>
            <w:r>
              <w:rPr>
                <w:color w:val="000000"/>
                <w:sz w:val="18"/>
                <w:szCs w:val="18"/>
              </w:rPr>
              <w:t>$200</w:t>
            </w:r>
          </w:p>
        </w:tc>
      </w:tr>
      <w:tr w:rsidR="00FF230E" w14:paraId="3E180E11" w14:textId="77777777" w:rsidTr="002574B3">
        <w:tblPrEx>
          <w:tblCellMar>
            <w:top w:w="0" w:type="dxa"/>
            <w:bottom w:w="0" w:type="dxa"/>
          </w:tblCellMar>
        </w:tblPrEx>
        <w:tc>
          <w:tcPr>
            <w:tcW w:w="1790" w:type="dxa"/>
            <w:vMerge w:val="restart"/>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5E26919" w14:textId="77777777" w:rsidR="00FF230E" w:rsidRDefault="00FF230E" w:rsidP="002574B3">
            <w:r>
              <w:rPr>
                <w:b/>
                <w:bCs/>
                <w:color w:val="000000"/>
                <w:sz w:val="18"/>
                <w:szCs w:val="18"/>
              </w:rPr>
              <w:t>Phoenix VII</w:t>
            </w:r>
          </w:p>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9E6CCE8" w14:textId="77777777" w:rsidR="00FF230E" w:rsidRDefault="00FF230E" w:rsidP="002574B3">
            <w:pPr>
              <w:jc w:val="center"/>
            </w:pPr>
            <w:r>
              <w:rPr>
                <w:color w:val="000000"/>
                <w:sz w:val="18"/>
                <w:szCs w:val="18"/>
              </w:rPr>
              <w:t>20 × 23</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64FBE8A" w14:textId="77777777" w:rsidR="00FF230E" w:rsidRDefault="00FF230E" w:rsidP="002574B3">
            <w:pPr>
              <w:jc w:val="center"/>
            </w:pPr>
            <w:r>
              <w:rPr>
                <w:color w:val="000000"/>
                <w:sz w:val="18"/>
                <w:szCs w:val="18"/>
              </w:rPr>
              <w:t>500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C4DA14E" w14:textId="77777777" w:rsidR="00FF230E" w:rsidRDefault="00FF230E" w:rsidP="002574B3">
            <w:pPr>
              <w:jc w:val="center"/>
            </w:pPr>
            <w:r>
              <w:rPr>
                <w:color w:val="000000"/>
                <w:sz w:val="18"/>
                <w:szCs w:val="18"/>
              </w:rPr>
              <w:t>25</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931F9C3" w14:textId="77777777" w:rsidR="00FF230E" w:rsidRDefault="00FF230E" w:rsidP="002574B3">
            <w:pPr>
              <w:jc w:val="center"/>
            </w:pPr>
            <w:r>
              <w:rPr>
                <w:color w:val="000000"/>
                <w:sz w:val="18"/>
                <w:szCs w:val="18"/>
              </w:rPr>
              <w:t>18</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D47922B" w14:textId="77777777" w:rsidR="00FF230E" w:rsidRDefault="00FF230E" w:rsidP="002574B3">
            <w:pPr>
              <w:jc w:val="center"/>
            </w:pPr>
            <w:r>
              <w:rPr>
                <w:color w:val="000000"/>
                <w:sz w:val="18"/>
                <w:szCs w:val="18"/>
              </w:rPr>
              <w:t>12</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DBF5DC6" w14:textId="77777777" w:rsidR="00FF230E" w:rsidRDefault="00FF230E" w:rsidP="002574B3">
            <w:pPr>
              <w:jc w:val="center"/>
            </w:pPr>
            <w:r>
              <w:rPr>
                <w:color w:val="000000"/>
                <w:sz w:val="18"/>
                <w:szCs w:val="18"/>
              </w:rPr>
              <w:t>20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17D732F" w14:textId="77777777" w:rsidR="00FF230E" w:rsidRDefault="00FF230E" w:rsidP="002574B3">
            <w:pPr>
              <w:jc w:val="center"/>
            </w:pPr>
            <w:r>
              <w:rPr>
                <w:color w:val="000000"/>
                <w:sz w:val="18"/>
                <w:szCs w:val="18"/>
              </w:rPr>
              <w:t>25</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4B8AE76" w14:textId="77777777" w:rsidR="00FF230E" w:rsidRDefault="00FF230E" w:rsidP="002574B3">
            <w:pPr>
              <w:jc w:val="center"/>
            </w:pPr>
            <w:r>
              <w:rPr>
                <w:color w:val="000000"/>
                <w:sz w:val="18"/>
                <w:szCs w:val="18"/>
              </w:rPr>
              <w:t>$45</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C09BD49" w14:textId="77777777" w:rsidR="00FF230E" w:rsidRDefault="00FF230E" w:rsidP="002574B3">
            <w:pPr>
              <w:jc w:val="center"/>
            </w:pPr>
            <w:r>
              <w:rPr>
                <w:color w:val="000000"/>
                <w:sz w:val="18"/>
                <w:szCs w:val="18"/>
              </w:rPr>
              <w:t>$45</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CAF59E3" w14:textId="77777777" w:rsidR="00FF230E" w:rsidRDefault="00FF230E" w:rsidP="002574B3">
            <w:pPr>
              <w:jc w:val="center"/>
            </w:pPr>
            <w:r>
              <w:rPr>
                <w:color w:val="000000"/>
                <w:sz w:val="18"/>
                <w:szCs w:val="18"/>
              </w:rPr>
              <w:t>$75</w:t>
            </w:r>
          </w:p>
        </w:tc>
      </w:tr>
      <w:tr w:rsidR="00FF230E" w14:paraId="00E83C89"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tcPr>
          <w:p w14:paraId="3BE06949"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B33D775" w14:textId="77777777" w:rsidR="00FF230E" w:rsidRDefault="00FF230E" w:rsidP="002574B3">
            <w:pPr>
              <w:jc w:val="center"/>
            </w:pPr>
            <w:r>
              <w:rPr>
                <w:color w:val="000000"/>
                <w:sz w:val="18"/>
                <w:szCs w:val="18"/>
              </w:rPr>
              <w:t>23 × 60</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EDD7758" w14:textId="77777777" w:rsidR="00FF230E" w:rsidRDefault="00FF230E" w:rsidP="002574B3">
            <w:pPr>
              <w:jc w:val="center"/>
            </w:pPr>
            <w:r>
              <w:rPr>
                <w:color w:val="000000"/>
                <w:sz w:val="18"/>
                <w:szCs w:val="18"/>
              </w:rPr>
              <w:t>1,530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13874FD"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DECD7DD" w14:textId="77777777" w:rsidR="00FF230E" w:rsidRDefault="00FF230E" w:rsidP="002574B3">
            <w:pPr>
              <w:jc w:val="center"/>
            </w:pPr>
            <w:r>
              <w:rPr>
                <w:color w:val="000000"/>
                <w:sz w:val="18"/>
                <w:szCs w:val="18"/>
              </w:rPr>
              <w:t>75</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2221DD7"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1DF91CE" w14:textId="77777777" w:rsidR="00FF230E" w:rsidRDefault="00FF230E" w:rsidP="002574B3">
            <w:pPr>
              <w:jc w:val="center"/>
            </w:pPr>
            <w:r>
              <w:rPr>
                <w:color w:val="000000"/>
                <w:sz w:val="18"/>
                <w:szCs w:val="18"/>
              </w:rPr>
              <w:t>40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8E9575D"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AC96838" w14:textId="77777777" w:rsidR="00FF230E" w:rsidRDefault="00FF230E" w:rsidP="002574B3">
            <w:pPr>
              <w:jc w:val="center"/>
            </w:pPr>
            <w:r>
              <w:rPr>
                <w:color w:val="000000"/>
                <w:sz w:val="18"/>
                <w:szCs w:val="18"/>
              </w:rPr>
              <w:t>$120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BB01996" w14:textId="77777777" w:rsidR="00FF230E" w:rsidRDefault="00FF230E" w:rsidP="002574B3">
            <w:pPr>
              <w:jc w:val="center"/>
            </w:pPr>
            <w:r>
              <w:rPr>
                <w:color w:val="000000"/>
                <w:sz w:val="18"/>
                <w:szCs w:val="18"/>
              </w:rPr>
              <w:t>$120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DD28941" w14:textId="77777777" w:rsidR="00FF230E" w:rsidRDefault="00FF230E" w:rsidP="002574B3">
            <w:pPr>
              <w:jc w:val="center"/>
            </w:pPr>
            <w:r>
              <w:rPr>
                <w:color w:val="000000"/>
                <w:sz w:val="18"/>
                <w:szCs w:val="18"/>
              </w:rPr>
              <w:t>$200</w:t>
            </w:r>
          </w:p>
        </w:tc>
      </w:tr>
      <w:tr w:rsidR="00FF230E" w14:paraId="2CE484DD" w14:textId="77777777" w:rsidTr="002574B3">
        <w:tblPrEx>
          <w:tblCellMar>
            <w:top w:w="0" w:type="dxa"/>
            <w:bottom w:w="0" w:type="dxa"/>
          </w:tblCellMar>
        </w:tblPrEx>
        <w:tc>
          <w:tcPr>
            <w:tcW w:w="1790" w:type="dxa"/>
            <w:vMerge w:val="restart"/>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86716E7" w14:textId="77777777" w:rsidR="00FF230E" w:rsidRDefault="00FF230E" w:rsidP="002574B3">
            <w:r>
              <w:rPr>
                <w:b/>
                <w:bCs/>
                <w:color w:val="000000"/>
                <w:sz w:val="18"/>
                <w:szCs w:val="18"/>
              </w:rPr>
              <w:t>Phoenix IX</w:t>
            </w:r>
          </w:p>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5E69288" w14:textId="77777777" w:rsidR="00FF230E" w:rsidRDefault="00FF230E" w:rsidP="002574B3">
            <w:pPr>
              <w:jc w:val="center"/>
            </w:pPr>
            <w:r>
              <w:rPr>
                <w:color w:val="000000"/>
                <w:sz w:val="18"/>
                <w:szCs w:val="18"/>
              </w:rPr>
              <w:t>18 × 28</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9903EF4" w14:textId="77777777" w:rsidR="00FF230E" w:rsidRDefault="00FF230E" w:rsidP="002574B3">
            <w:pPr>
              <w:jc w:val="center"/>
            </w:pPr>
            <w:r>
              <w:rPr>
                <w:color w:val="000000"/>
                <w:sz w:val="18"/>
                <w:szCs w:val="18"/>
              </w:rPr>
              <w:t>500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DCBDE6B" w14:textId="77777777" w:rsidR="00FF230E" w:rsidRDefault="00FF230E" w:rsidP="002574B3">
            <w:pPr>
              <w:jc w:val="center"/>
            </w:pPr>
            <w:r>
              <w:rPr>
                <w:color w:val="000000"/>
                <w:sz w:val="18"/>
                <w:szCs w:val="18"/>
              </w:rPr>
              <w:t>15</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120AF87" w14:textId="77777777" w:rsidR="00FF230E" w:rsidRDefault="00FF230E" w:rsidP="002574B3">
            <w:pPr>
              <w:jc w:val="center"/>
            </w:pPr>
            <w:r>
              <w:rPr>
                <w:color w:val="000000"/>
                <w:sz w:val="18"/>
                <w:szCs w:val="18"/>
              </w:rPr>
              <w:t>12</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DFA7CE0" w14:textId="77777777" w:rsidR="00FF230E" w:rsidRDefault="00FF230E" w:rsidP="002574B3">
            <w:pPr>
              <w:jc w:val="center"/>
            </w:pPr>
            <w:r>
              <w:rPr>
                <w:color w:val="000000"/>
                <w:sz w:val="18"/>
                <w:szCs w:val="18"/>
              </w:rPr>
              <w:t>10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D956501" w14:textId="77777777" w:rsidR="00FF230E" w:rsidRDefault="00FF230E" w:rsidP="002574B3">
            <w:pPr>
              <w:jc w:val="center"/>
            </w:pPr>
            <w:r>
              <w:rPr>
                <w:color w:val="000000"/>
                <w:sz w:val="18"/>
                <w:szCs w:val="18"/>
              </w:rPr>
              <w:t>15</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750CA14" w14:textId="77777777" w:rsidR="00FF230E" w:rsidRDefault="00FF230E" w:rsidP="002574B3">
            <w:pPr>
              <w:jc w:val="center"/>
            </w:pPr>
            <w:r>
              <w:rPr>
                <w:color w:val="000000"/>
                <w:sz w:val="18"/>
                <w:szCs w:val="18"/>
              </w:rPr>
              <w:t>16</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1653EB4" w14:textId="77777777" w:rsidR="00FF230E" w:rsidRDefault="00FF230E" w:rsidP="002574B3">
            <w:pPr>
              <w:jc w:val="center"/>
            </w:pPr>
            <w:r>
              <w:rPr>
                <w:color w:val="000000"/>
                <w:sz w:val="18"/>
                <w:szCs w:val="18"/>
              </w:rPr>
              <w:t>$45</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4234646" w14:textId="77777777" w:rsidR="00FF230E" w:rsidRDefault="00FF230E" w:rsidP="002574B3">
            <w:pPr>
              <w:jc w:val="center"/>
            </w:pPr>
            <w:r>
              <w:rPr>
                <w:color w:val="000000"/>
                <w:sz w:val="18"/>
                <w:szCs w:val="18"/>
              </w:rPr>
              <w:t>$45</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84BBED4" w14:textId="77777777" w:rsidR="00FF230E" w:rsidRDefault="00FF230E" w:rsidP="002574B3">
            <w:pPr>
              <w:jc w:val="center"/>
            </w:pPr>
            <w:r>
              <w:rPr>
                <w:color w:val="000000"/>
                <w:sz w:val="18"/>
                <w:szCs w:val="18"/>
              </w:rPr>
              <w:t>$75</w:t>
            </w:r>
          </w:p>
        </w:tc>
      </w:tr>
      <w:tr w:rsidR="00FF230E" w14:paraId="0AF18A57"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shd w:val="clear" w:color="auto" w:fill="DAE9F7" w:themeFill="text2" w:themeFillTint="1A"/>
          </w:tcPr>
          <w:p w14:paraId="55C9CE74"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A020C83" w14:textId="77777777" w:rsidR="00FF230E" w:rsidRDefault="00FF230E" w:rsidP="002574B3">
            <w:pPr>
              <w:jc w:val="center"/>
            </w:pPr>
            <w:r>
              <w:rPr>
                <w:color w:val="000000"/>
                <w:sz w:val="18"/>
                <w:szCs w:val="18"/>
              </w:rPr>
              <w:t>48 × 59</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BA6C54B" w14:textId="77777777" w:rsidR="00FF230E" w:rsidRDefault="00FF230E" w:rsidP="002574B3">
            <w:pPr>
              <w:jc w:val="center"/>
            </w:pPr>
            <w:r>
              <w:rPr>
                <w:color w:val="000000"/>
                <w:sz w:val="18"/>
                <w:szCs w:val="18"/>
              </w:rPr>
              <w:t>2,970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7EBC7EE" w14:textId="77777777" w:rsidR="00FF230E" w:rsidRDefault="00FF230E" w:rsidP="002574B3">
            <w:pPr>
              <w:jc w:val="center"/>
            </w:pPr>
            <w:r>
              <w:rPr>
                <w:color w:val="000000"/>
                <w:sz w:val="18"/>
                <w:szCs w:val="18"/>
              </w:rPr>
              <w:t>150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B61CEB3" w14:textId="77777777" w:rsidR="00FF230E" w:rsidRDefault="00FF230E" w:rsidP="002574B3">
            <w:pPr>
              <w:jc w:val="center"/>
            </w:pPr>
            <w:r>
              <w:rPr>
                <w:color w:val="000000"/>
                <w:sz w:val="18"/>
                <w:szCs w:val="18"/>
              </w:rPr>
              <w:t>75</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2438FAE" w14:textId="77777777" w:rsidR="00FF230E" w:rsidRDefault="00FF230E" w:rsidP="002574B3">
            <w:pPr>
              <w:jc w:val="center"/>
            </w:pPr>
            <w:r>
              <w:rPr>
                <w:color w:val="000000"/>
                <w:sz w:val="18"/>
                <w:szCs w:val="18"/>
              </w:rPr>
              <w:t>20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4EBDA34" w14:textId="77777777" w:rsidR="00FF230E" w:rsidRDefault="00FF230E" w:rsidP="002574B3">
            <w:pPr>
              <w:jc w:val="center"/>
            </w:pPr>
            <w:r>
              <w:rPr>
                <w:color w:val="000000"/>
                <w:sz w:val="18"/>
                <w:szCs w:val="18"/>
              </w:rPr>
              <w:t>20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71EEE7B" w14:textId="77777777" w:rsidR="00FF230E" w:rsidRDefault="00FF230E" w:rsidP="002574B3">
            <w:pPr>
              <w:jc w:val="center"/>
            </w:pPr>
            <w:r>
              <w:rPr>
                <w:color w:val="000000"/>
                <w:sz w:val="18"/>
                <w:szCs w:val="18"/>
              </w:rPr>
              <w:t>80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8AFCC9D" w14:textId="77777777" w:rsidR="00FF230E" w:rsidRDefault="00FF230E" w:rsidP="002574B3">
            <w:pPr>
              <w:jc w:val="center"/>
            </w:pPr>
            <w:r>
              <w:rPr>
                <w:color w:val="000000"/>
                <w:sz w:val="18"/>
                <w:szCs w:val="18"/>
              </w:rPr>
              <w:t>$150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B495409" w14:textId="77777777" w:rsidR="00FF230E" w:rsidRDefault="00FF230E" w:rsidP="002574B3">
            <w:pPr>
              <w:jc w:val="center"/>
            </w:pPr>
            <w:r>
              <w:rPr>
                <w:color w:val="000000"/>
                <w:sz w:val="18"/>
                <w:szCs w:val="18"/>
              </w:rPr>
              <w:t>$150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729D588" w14:textId="77777777" w:rsidR="00FF230E" w:rsidRDefault="00FF230E" w:rsidP="002574B3">
            <w:pPr>
              <w:jc w:val="center"/>
            </w:pPr>
            <w:r>
              <w:rPr>
                <w:color w:val="000000"/>
                <w:sz w:val="18"/>
                <w:szCs w:val="18"/>
              </w:rPr>
              <w:t>$250</w:t>
            </w:r>
          </w:p>
        </w:tc>
      </w:tr>
      <w:tr w:rsidR="00FF230E" w14:paraId="024389DD" w14:textId="77777777" w:rsidTr="002574B3">
        <w:tblPrEx>
          <w:tblCellMar>
            <w:top w:w="0" w:type="dxa"/>
            <w:bottom w:w="0" w:type="dxa"/>
          </w:tblCellMar>
        </w:tblPrEx>
        <w:tc>
          <w:tcPr>
            <w:tcW w:w="179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F54ED77" w14:textId="77777777" w:rsidR="00FF230E" w:rsidRDefault="00FF230E" w:rsidP="002574B3">
            <w:r>
              <w:rPr>
                <w:b/>
                <w:bCs/>
                <w:color w:val="000000"/>
                <w:sz w:val="18"/>
                <w:szCs w:val="18"/>
              </w:rPr>
              <w:t>Phoenix X</w:t>
            </w:r>
          </w:p>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826E179" w14:textId="77777777" w:rsidR="00FF230E" w:rsidRDefault="00FF230E" w:rsidP="002574B3">
            <w:pPr>
              <w:jc w:val="center"/>
            </w:pPr>
            <w:r>
              <w:rPr>
                <w:color w:val="000000"/>
                <w:sz w:val="18"/>
                <w:szCs w:val="18"/>
              </w:rPr>
              <w:t>23 × 60</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6A4A084" w14:textId="77777777" w:rsidR="00FF230E" w:rsidRDefault="00FF230E" w:rsidP="002574B3">
            <w:pPr>
              <w:jc w:val="center"/>
            </w:pPr>
            <w:r>
              <w:rPr>
                <w:color w:val="000000"/>
                <w:sz w:val="18"/>
                <w:szCs w:val="18"/>
              </w:rPr>
              <w:t>1,530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4AEE5AF"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4AE3C9E" w14:textId="77777777" w:rsidR="00FF230E" w:rsidRDefault="00FF230E" w:rsidP="002574B3">
            <w:pPr>
              <w:jc w:val="center"/>
            </w:pPr>
            <w:r>
              <w:rPr>
                <w:color w:val="000000"/>
                <w:sz w:val="18"/>
                <w:szCs w:val="18"/>
              </w:rPr>
              <w:t>75</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B5875A2"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BA58178" w14:textId="77777777" w:rsidR="00FF230E" w:rsidRDefault="00FF230E" w:rsidP="002574B3">
            <w:pPr>
              <w:jc w:val="center"/>
            </w:pPr>
            <w:r>
              <w:rPr>
                <w:color w:val="000000"/>
                <w:sz w:val="18"/>
                <w:szCs w:val="18"/>
              </w:rPr>
              <w:t>40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764CC94"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10950DC" w14:textId="77777777" w:rsidR="00FF230E" w:rsidRDefault="00FF230E" w:rsidP="002574B3">
            <w:pPr>
              <w:jc w:val="center"/>
            </w:pPr>
            <w:r>
              <w:rPr>
                <w:color w:val="000000"/>
                <w:sz w:val="18"/>
                <w:szCs w:val="18"/>
              </w:rPr>
              <w:t>$120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D6FF4F2" w14:textId="77777777" w:rsidR="00FF230E" w:rsidRDefault="00FF230E" w:rsidP="002574B3">
            <w:pPr>
              <w:jc w:val="center"/>
            </w:pPr>
            <w:r>
              <w:rPr>
                <w:color w:val="000000"/>
                <w:sz w:val="18"/>
                <w:szCs w:val="18"/>
              </w:rPr>
              <w:t>$120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B14A67B" w14:textId="77777777" w:rsidR="00FF230E" w:rsidRDefault="00FF230E" w:rsidP="002574B3">
            <w:pPr>
              <w:jc w:val="center"/>
            </w:pPr>
            <w:r>
              <w:rPr>
                <w:color w:val="000000"/>
                <w:sz w:val="18"/>
                <w:szCs w:val="18"/>
              </w:rPr>
              <w:t>$200</w:t>
            </w:r>
          </w:p>
        </w:tc>
      </w:tr>
      <w:tr w:rsidR="00FF230E" w14:paraId="431CA7E4" w14:textId="77777777" w:rsidTr="002574B3">
        <w:tblPrEx>
          <w:tblCellMar>
            <w:top w:w="0" w:type="dxa"/>
            <w:bottom w:w="0" w:type="dxa"/>
          </w:tblCellMar>
        </w:tblPrEx>
        <w:tc>
          <w:tcPr>
            <w:tcW w:w="1790" w:type="dxa"/>
            <w:vMerge w:val="restart"/>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40C9A34" w14:textId="77777777" w:rsidR="00FF230E" w:rsidRDefault="00FF230E" w:rsidP="002574B3">
            <w:r>
              <w:rPr>
                <w:b/>
                <w:bCs/>
                <w:color w:val="000000"/>
                <w:sz w:val="18"/>
                <w:szCs w:val="18"/>
              </w:rPr>
              <w:t>Phoenix West</w:t>
            </w:r>
          </w:p>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284C291" w14:textId="77777777" w:rsidR="00FF230E" w:rsidRDefault="00FF230E" w:rsidP="002574B3">
            <w:pPr>
              <w:jc w:val="center"/>
            </w:pPr>
            <w:r>
              <w:rPr>
                <w:color w:val="000000"/>
                <w:sz w:val="18"/>
                <w:szCs w:val="18"/>
              </w:rPr>
              <w:t>50 × 10</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A290107" w14:textId="77777777" w:rsidR="00FF230E" w:rsidRDefault="00FF230E" w:rsidP="002574B3">
            <w:pPr>
              <w:jc w:val="center"/>
            </w:pPr>
            <w:r>
              <w:rPr>
                <w:color w:val="000000"/>
                <w:sz w:val="18"/>
                <w:szCs w:val="18"/>
              </w:rPr>
              <w:t>500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21946E7" w14:textId="77777777" w:rsidR="00FF230E" w:rsidRDefault="00FF230E" w:rsidP="002574B3">
            <w:pPr>
              <w:jc w:val="center"/>
            </w:pPr>
            <w:r>
              <w:rPr>
                <w:color w:val="000000"/>
                <w:sz w:val="18"/>
                <w:szCs w:val="18"/>
              </w:rPr>
              <w:t>25</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EC1F232" w14:textId="77777777" w:rsidR="00FF230E" w:rsidRDefault="00FF230E" w:rsidP="002574B3">
            <w:pPr>
              <w:jc w:val="center"/>
            </w:pPr>
            <w:r>
              <w:rPr>
                <w:color w:val="000000"/>
                <w:sz w:val="18"/>
                <w:szCs w:val="18"/>
              </w:rPr>
              <w:t>16</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1753FC2" w14:textId="77777777" w:rsidR="00FF230E" w:rsidRDefault="00FF230E" w:rsidP="002574B3">
            <w:pPr>
              <w:jc w:val="center"/>
            </w:pPr>
            <w:r>
              <w:rPr>
                <w:color w:val="000000"/>
                <w:sz w:val="18"/>
                <w:szCs w:val="18"/>
              </w:rPr>
              <w:t>12</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A1BB5EB" w14:textId="77777777" w:rsidR="00FF230E" w:rsidRDefault="00FF230E" w:rsidP="002574B3">
            <w:pPr>
              <w:jc w:val="center"/>
            </w:pPr>
            <w:r>
              <w:rPr>
                <w:color w:val="000000"/>
                <w:sz w:val="18"/>
                <w:szCs w:val="18"/>
              </w:rPr>
              <w:t>16</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41EB3F0" w14:textId="77777777" w:rsidR="00FF230E" w:rsidRDefault="00FF230E" w:rsidP="002574B3">
            <w:pPr>
              <w:jc w:val="center"/>
            </w:pPr>
            <w:r>
              <w:rPr>
                <w:color w:val="000000"/>
                <w:sz w:val="18"/>
                <w:szCs w:val="18"/>
              </w:rPr>
              <w:t>24</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8E9F30B" w14:textId="77777777" w:rsidR="00FF230E" w:rsidRDefault="00FF230E" w:rsidP="002574B3">
            <w:pPr>
              <w:jc w:val="center"/>
            </w:pPr>
            <w:r>
              <w:rPr>
                <w:color w:val="000000"/>
                <w:sz w:val="18"/>
                <w:szCs w:val="18"/>
              </w:rPr>
              <w:t>$75</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21D978F" w14:textId="77777777" w:rsidR="00FF230E" w:rsidRDefault="00FF230E" w:rsidP="002574B3">
            <w:pPr>
              <w:jc w:val="center"/>
            </w:pPr>
            <w:r>
              <w:rPr>
                <w:color w:val="000000"/>
                <w:sz w:val="18"/>
                <w:szCs w:val="18"/>
              </w:rPr>
              <w:t>$75</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44C0306" w14:textId="77777777" w:rsidR="00FF230E" w:rsidRDefault="00FF230E" w:rsidP="002574B3">
            <w:pPr>
              <w:jc w:val="center"/>
            </w:pPr>
            <w:r>
              <w:rPr>
                <w:color w:val="000000"/>
                <w:sz w:val="18"/>
                <w:szCs w:val="18"/>
              </w:rPr>
              <w:t>$150</w:t>
            </w:r>
          </w:p>
        </w:tc>
      </w:tr>
      <w:tr w:rsidR="00FF230E" w14:paraId="57BEC9B4"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shd w:val="clear" w:color="auto" w:fill="DAE9F7" w:themeFill="text2" w:themeFillTint="1A"/>
          </w:tcPr>
          <w:p w14:paraId="3D619DD6"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4F0E392" w14:textId="77777777" w:rsidR="00FF230E" w:rsidRDefault="00FF230E" w:rsidP="002574B3">
            <w:pPr>
              <w:jc w:val="center"/>
            </w:pPr>
            <w:r>
              <w:rPr>
                <w:color w:val="000000"/>
                <w:sz w:val="18"/>
                <w:szCs w:val="18"/>
              </w:rPr>
              <w:t>104.5 × 48.5</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8574729" w14:textId="77777777" w:rsidR="00FF230E" w:rsidRDefault="00FF230E" w:rsidP="002574B3">
            <w:pPr>
              <w:jc w:val="center"/>
            </w:pPr>
            <w:r>
              <w:rPr>
                <w:color w:val="000000"/>
                <w:sz w:val="18"/>
                <w:szCs w:val="18"/>
              </w:rPr>
              <w:t>4,425</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751B1AF" w14:textId="77777777" w:rsidR="00FF230E" w:rsidRDefault="00FF230E" w:rsidP="002574B3">
            <w:pPr>
              <w:jc w:val="center"/>
            </w:pPr>
            <w:r>
              <w:rPr>
                <w:color w:val="000000"/>
                <w:sz w:val="18"/>
                <w:szCs w:val="18"/>
              </w:rPr>
              <w:t>200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41A4C7C" w14:textId="77777777" w:rsidR="00FF230E" w:rsidRDefault="00FF230E" w:rsidP="002574B3">
            <w:pPr>
              <w:jc w:val="center"/>
            </w:pPr>
            <w:r>
              <w:rPr>
                <w:color w:val="000000"/>
                <w:sz w:val="18"/>
                <w:szCs w:val="18"/>
              </w:rPr>
              <w:t>150</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FF4F694"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3A47B30" w14:textId="77777777" w:rsidR="00FF230E" w:rsidRDefault="00FF230E" w:rsidP="002574B3">
            <w:pPr>
              <w:jc w:val="center"/>
            </w:pPr>
            <w:r>
              <w:rPr>
                <w:color w:val="000000"/>
                <w:sz w:val="18"/>
                <w:szCs w:val="18"/>
              </w:rPr>
              <w:t>40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81697CE" w14:textId="77777777" w:rsidR="00FF230E" w:rsidRDefault="00FF230E" w:rsidP="002574B3">
            <w:pPr>
              <w:jc w:val="center"/>
            </w:pPr>
            <w:r>
              <w:rPr>
                <w:color w:val="000000"/>
                <w:sz w:val="18"/>
                <w:szCs w:val="18"/>
              </w:rPr>
              <w:t>200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5CAC2F5" w14:textId="77777777" w:rsidR="00FF230E" w:rsidRDefault="00FF230E" w:rsidP="002574B3">
            <w:pPr>
              <w:jc w:val="center"/>
            </w:pPr>
            <w:r>
              <w:rPr>
                <w:color w:val="000000"/>
                <w:sz w:val="18"/>
                <w:szCs w:val="18"/>
              </w:rPr>
              <w:t>$500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EA5F411" w14:textId="77777777" w:rsidR="00FF230E" w:rsidRDefault="00FF230E" w:rsidP="002574B3">
            <w:pPr>
              <w:jc w:val="center"/>
            </w:pPr>
            <w:r>
              <w:rPr>
                <w:color w:val="000000"/>
                <w:sz w:val="18"/>
                <w:szCs w:val="18"/>
              </w:rPr>
              <w:t>$500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F90F974" w14:textId="77777777" w:rsidR="00FF230E" w:rsidRDefault="00FF230E" w:rsidP="002574B3">
            <w:pPr>
              <w:jc w:val="center"/>
            </w:pPr>
            <w:r>
              <w:rPr>
                <w:color w:val="000000"/>
                <w:sz w:val="18"/>
                <w:szCs w:val="18"/>
              </w:rPr>
              <w:t>$750</w:t>
            </w:r>
          </w:p>
        </w:tc>
      </w:tr>
      <w:tr w:rsidR="00FF230E" w14:paraId="045FC321"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shd w:val="clear" w:color="auto" w:fill="DAE9F7" w:themeFill="text2" w:themeFillTint="1A"/>
          </w:tcPr>
          <w:p w14:paraId="4D4CF42D"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C4050DF" w14:textId="77777777" w:rsidR="00FF230E" w:rsidRDefault="00FF230E" w:rsidP="002574B3">
            <w:pPr>
              <w:jc w:val="center"/>
            </w:pPr>
            <w:r>
              <w:rPr>
                <w:color w:val="000000"/>
                <w:sz w:val="18"/>
                <w:szCs w:val="18"/>
              </w:rPr>
              <w:t>104.5 × 48.5</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A6B2B6A" w14:textId="77777777" w:rsidR="00FF230E" w:rsidRDefault="00FF230E" w:rsidP="002574B3">
            <w:pPr>
              <w:jc w:val="center"/>
            </w:pPr>
            <w:r>
              <w:rPr>
                <w:color w:val="000000"/>
                <w:sz w:val="18"/>
                <w:szCs w:val="18"/>
              </w:rPr>
              <w:t>3,950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C6D6863" w14:textId="77777777" w:rsidR="00FF230E" w:rsidRDefault="00FF230E" w:rsidP="002574B3">
            <w:pPr>
              <w:jc w:val="center"/>
            </w:pPr>
            <w:r>
              <w:rPr>
                <w:color w:val="000000"/>
                <w:sz w:val="18"/>
                <w:szCs w:val="18"/>
              </w:rPr>
              <w:t>200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C4A607F" w14:textId="77777777" w:rsidR="00FF230E" w:rsidRDefault="00FF230E" w:rsidP="002574B3">
            <w:pPr>
              <w:jc w:val="center"/>
            </w:pPr>
            <w:r>
              <w:rPr>
                <w:color w:val="000000"/>
                <w:sz w:val="18"/>
                <w:szCs w:val="18"/>
              </w:rPr>
              <w:t>150</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C64F3BA"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7E70FB2" w14:textId="77777777" w:rsidR="00FF230E" w:rsidRDefault="00FF230E" w:rsidP="002574B3">
            <w:pPr>
              <w:jc w:val="center"/>
            </w:pPr>
            <w:r>
              <w:rPr>
                <w:color w:val="000000"/>
                <w:sz w:val="18"/>
                <w:szCs w:val="18"/>
              </w:rPr>
              <w:t>40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651F36F" w14:textId="77777777" w:rsidR="00FF230E" w:rsidRDefault="00FF230E" w:rsidP="002574B3">
            <w:pPr>
              <w:jc w:val="center"/>
            </w:pPr>
            <w:r>
              <w:rPr>
                <w:color w:val="000000"/>
                <w:sz w:val="18"/>
                <w:szCs w:val="18"/>
              </w:rPr>
              <w:t>200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0F4C603" w14:textId="77777777" w:rsidR="00FF230E" w:rsidRDefault="00FF230E" w:rsidP="002574B3">
            <w:pPr>
              <w:jc w:val="center"/>
            </w:pPr>
            <w:r>
              <w:rPr>
                <w:color w:val="000000"/>
                <w:sz w:val="18"/>
                <w:szCs w:val="18"/>
              </w:rPr>
              <w:t>$500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95D2F03" w14:textId="77777777" w:rsidR="00FF230E" w:rsidRDefault="00FF230E" w:rsidP="002574B3">
            <w:pPr>
              <w:jc w:val="center"/>
            </w:pPr>
            <w:r>
              <w:rPr>
                <w:color w:val="000000"/>
                <w:sz w:val="18"/>
                <w:szCs w:val="18"/>
              </w:rPr>
              <w:t>$500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6E182B2" w14:textId="77777777" w:rsidR="00FF230E" w:rsidRDefault="00FF230E" w:rsidP="002574B3">
            <w:pPr>
              <w:jc w:val="center"/>
            </w:pPr>
            <w:r>
              <w:rPr>
                <w:color w:val="000000"/>
                <w:sz w:val="18"/>
                <w:szCs w:val="18"/>
              </w:rPr>
              <w:t>$750</w:t>
            </w:r>
          </w:p>
        </w:tc>
      </w:tr>
      <w:tr w:rsidR="00FF230E" w14:paraId="610B973F" w14:textId="77777777" w:rsidTr="002574B3">
        <w:tblPrEx>
          <w:tblCellMar>
            <w:top w:w="0" w:type="dxa"/>
            <w:bottom w:w="0" w:type="dxa"/>
          </w:tblCellMar>
        </w:tblPrEx>
        <w:tc>
          <w:tcPr>
            <w:tcW w:w="179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8CD8202" w14:textId="77777777" w:rsidR="00FF230E" w:rsidRDefault="00FF230E" w:rsidP="002574B3">
            <w:r>
              <w:rPr>
                <w:b/>
                <w:bCs/>
                <w:color w:val="000000"/>
                <w:sz w:val="18"/>
                <w:szCs w:val="18"/>
              </w:rPr>
              <w:t>Phoenix Gulf Shores</w:t>
            </w:r>
          </w:p>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F016955" w14:textId="77777777" w:rsidR="00FF230E" w:rsidRDefault="00FF230E" w:rsidP="002574B3">
            <w:pPr>
              <w:jc w:val="center"/>
            </w:pPr>
            <w:r>
              <w:rPr>
                <w:color w:val="000000"/>
                <w:sz w:val="18"/>
                <w:szCs w:val="18"/>
              </w:rPr>
              <w:t>30'8" × 61'</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432BD37" w14:textId="77777777" w:rsidR="00FF230E" w:rsidRDefault="00FF230E" w:rsidP="002574B3">
            <w:pPr>
              <w:jc w:val="center"/>
            </w:pPr>
            <w:r>
              <w:rPr>
                <w:color w:val="000000"/>
                <w:sz w:val="18"/>
                <w:szCs w:val="18"/>
              </w:rPr>
              <w:t>1,860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991D0EF"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A090E28" w14:textId="77777777" w:rsidR="00FF230E" w:rsidRDefault="00FF230E" w:rsidP="002574B3">
            <w:pPr>
              <w:jc w:val="center"/>
            </w:pPr>
            <w:r>
              <w:rPr>
                <w:color w:val="000000"/>
                <w:sz w:val="18"/>
                <w:szCs w:val="18"/>
              </w:rPr>
              <w:t>50</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870EA41"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ED76B4B" w14:textId="77777777" w:rsidR="00FF230E" w:rsidRDefault="00FF230E" w:rsidP="002574B3">
            <w:pPr>
              <w:jc w:val="center"/>
            </w:pPr>
            <w:r>
              <w:rPr>
                <w:color w:val="000000"/>
                <w:sz w:val="18"/>
                <w:szCs w:val="18"/>
              </w:rPr>
              <w:t>30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93C187A"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183E073" w14:textId="77777777" w:rsidR="00FF230E" w:rsidRDefault="00FF230E" w:rsidP="002574B3">
            <w:pPr>
              <w:jc w:val="center"/>
            </w:pPr>
            <w:r>
              <w:rPr>
                <w:color w:val="000000"/>
                <w:sz w:val="18"/>
                <w:szCs w:val="18"/>
              </w:rPr>
              <w:t>$400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B469DB3" w14:textId="77777777" w:rsidR="00FF230E" w:rsidRDefault="00FF230E" w:rsidP="002574B3">
            <w:pPr>
              <w:jc w:val="center"/>
            </w:pPr>
            <w:r>
              <w:rPr>
                <w:color w:val="000000"/>
                <w:sz w:val="18"/>
                <w:szCs w:val="18"/>
              </w:rPr>
              <w:t>$400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F1CDB09" w14:textId="77777777" w:rsidR="00FF230E" w:rsidRDefault="00FF230E" w:rsidP="002574B3">
            <w:pPr>
              <w:jc w:val="center"/>
            </w:pPr>
            <w:r>
              <w:rPr>
                <w:color w:val="000000"/>
                <w:sz w:val="18"/>
                <w:szCs w:val="18"/>
              </w:rPr>
              <w:t>$750</w:t>
            </w:r>
          </w:p>
        </w:tc>
      </w:tr>
      <w:tr w:rsidR="00FF230E" w14:paraId="0560BC98" w14:textId="77777777" w:rsidTr="002574B3">
        <w:tblPrEx>
          <w:tblCellMar>
            <w:top w:w="0" w:type="dxa"/>
            <w:bottom w:w="0" w:type="dxa"/>
          </w:tblCellMar>
        </w:tblPrEx>
        <w:tc>
          <w:tcPr>
            <w:tcW w:w="1790" w:type="dxa"/>
            <w:vMerge w:val="restart"/>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4B647D2" w14:textId="77777777" w:rsidR="00FF230E" w:rsidRDefault="00FF230E" w:rsidP="002574B3">
            <w:r>
              <w:rPr>
                <w:b/>
                <w:bCs/>
                <w:color w:val="000000"/>
                <w:sz w:val="18"/>
                <w:szCs w:val="18"/>
              </w:rPr>
              <w:t>Phoenix Gulf Towers</w:t>
            </w:r>
          </w:p>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FEE0766" w14:textId="77777777" w:rsidR="00FF230E" w:rsidRDefault="00FF230E" w:rsidP="002574B3">
            <w:pPr>
              <w:jc w:val="center"/>
            </w:pPr>
            <w:r>
              <w:rPr>
                <w:color w:val="000000"/>
                <w:sz w:val="18"/>
                <w:szCs w:val="18"/>
              </w:rPr>
              <w:t>30'8" × 61'</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99EB22A" w14:textId="77777777" w:rsidR="00FF230E" w:rsidRDefault="00FF230E" w:rsidP="002574B3">
            <w:pPr>
              <w:jc w:val="center"/>
            </w:pPr>
            <w:r>
              <w:rPr>
                <w:color w:val="000000"/>
                <w:sz w:val="18"/>
                <w:szCs w:val="18"/>
              </w:rPr>
              <w:t>1,860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825D47E"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E55BA72" w14:textId="77777777" w:rsidR="00FF230E" w:rsidRDefault="00FF230E" w:rsidP="002574B3">
            <w:pPr>
              <w:jc w:val="center"/>
            </w:pPr>
            <w:r>
              <w:rPr>
                <w:color w:val="000000"/>
                <w:sz w:val="18"/>
                <w:szCs w:val="18"/>
              </w:rPr>
              <w:t>50</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9DE64A1"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3C75DB0" w14:textId="77777777" w:rsidR="00FF230E" w:rsidRDefault="00FF230E" w:rsidP="002574B3">
            <w:pPr>
              <w:jc w:val="center"/>
            </w:pPr>
            <w:r>
              <w:rPr>
                <w:color w:val="000000"/>
                <w:sz w:val="18"/>
                <w:szCs w:val="18"/>
              </w:rPr>
              <w:t>30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26203AD"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533DC6A" w14:textId="77777777" w:rsidR="00FF230E" w:rsidRDefault="00FF230E" w:rsidP="002574B3">
            <w:pPr>
              <w:jc w:val="center"/>
            </w:pPr>
            <w:r>
              <w:rPr>
                <w:color w:val="000000"/>
                <w:sz w:val="18"/>
                <w:szCs w:val="18"/>
              </w:rPr>
              <w:t>$400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19B9CD0" w14:textId="77777777" w:rsidR="00FF230E" w:rsidRDefault="00FF230E" w:rsidP="002574B3">
            <w:pPr>
              <w:jc w:val="center"/>
            </w:pPr>
            <w:r>
              <w:rPr>
                <w:color w:val="000000"/>
                <w:sz w:val="18"/>
                <w:szCs w:val="18"/>
              </w:rPr>
              <w:t>$400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9DB83EB" w14:textId="77777777" w:rsidR="00FF230E" w:rsidRDefault="00FF230E" w:rsidP="002574B3">
            <w:pPr>
              <w:jc w:val="center"/>
            </w:pPr>
            <w:r>
              <w:rPr>
                <w:color w:val="000000"/>
                <w:sz w:val="18"/>
                <w:szCs w:val="18"/>
              </w:rPr>
              <w:t>$750</w:t>
            </w:r>
          </w:p>
        </w:tc>
      </w:tr>
      <w:tr w:rsidR="00FF230E" w14:paraId="524D460E"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shd w:val="clear" w:color="auto" w:fill="DAE9F7" w:themeFill="text2" w:themeFillTint="1A"/>
          </w:tcPr>
          <w:p w14:paraId="6B2FD993"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5BACBBF" w14:textId="77777777" w:rsidR="00FF230E" w:rsidRDefault="00FF230E" w:rsidP="002574B3">
            <w:pPr>
              <w:jc w:val="center"/>
            </w:pPr>
            <w:r>
              <w:rPr>
                <w:color w:val="000000"/>
                <w:sz w:val="18"/>
                <w:szCs w:val="18"/>
              </w:rPr>
              <w:t>30'8" × 61'</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A27353B" w14:textId="77777777" w:rsidR="00FF230E" w:rsidRDefault="00FF230E" w:rsidP="002574B3">
            <w:pPr>
              <w:jc w:val="center"/>
            </w:pPr>
            <w:r>
              <w:rPr>
                <w:color w:val="000000"/>
                <w:sz w:val="18"/>
                <w:szCs w:val="18"/>
              </w:rPr>
              <w:t>1,860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D31DFEB"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D67F8CA" w14:textId="77777777" w:rsidR="00FF230E" w:rsidRDefault="00FF230E" w:rsidP="002574B3">
            <w:pPr>
              <w:jc w:val="center"/>
            </w:pPr>
            <w:r>
              <w:rPr>
                <w:color w:val="000000"/>
                <w:sz w:val="18"/>
                <w:szCs w:val="18"/>
              </w:rPr>
              <w:t>50</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8C01CA0"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D16E54A" w14:textId="77777777" w:rsidR="00FF230E" w:rsidRDefault="00FF230E" w:rsidP="002574B3">
            <w:pPr>
              <w:jc w:val="center"/>
            </w:pPr>
            <w:r>
              <w:rPr>
                <w:color w:val="000000"/>
                <w:sz w:val="18"/>
                <w:szCs w:val="18"/>
              </w:rPr>
              <w:t>30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2672672"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A3A9FBB" w14:textId="77777777" w:rsidR="00FF230E" w:rsidRDefault="00FF230E" w:rsidP="002574B3">
            <w:pPr>
              <w:jc w:val="center"/>
            </w:pPr>
            <w:r>
              <w:rPr>
                <w:color w:val="000000"/>
                <w:sz w:val="18"/>
                <w:szCs w:val="18"/>
              </w:rPr>
              <w:t>$400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60EAB3D" w14:textId="77777777" w:rsidR="00FF230E" w:rsidRDefault="00FF230E" w:rsidP="002574B3">
            <w:pPr>
              <w:jc w:val="center"/>
            </w:pPr>
            <w:r>
              <w:rPr>
                <w:color w:val="000000"/>
                <w:sz w:val="18"/>
                <w:szCs w:val="18"/>
              </w:rPr>
              <w:t>$400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BCC28FD" w14:textId="77777777" w:rsidR="00FF230E" w:rsidRDefault="00FF230E" w:rsidP="002574B3">
            <w:pPr>
              <w:jc w:val="center"/>
            </w:pPr>
            <w:r>
              <w:rPr>
                <w:color w:val="000000"/>
                <w:sz w:val="18"/>
                <w:szCs w:val="18"/>
              </w:rPr>
              <w:t>$750</w:t>
            </w:r>
          </w:p>
        </w:tc>
      </w:tr>
      <w:tr w:rsidR="00FF230E" w14:paraId="638CD309" w14:textId="77777777" w:rsidTr="002574B3">
        <w:tblPrEx>
          <w:tblCellMar>
            <w:top w:w="0" w:type="dxa"/>
            <w:bottom w:w="0" w:type="dxa"/>
          </w:tblCellMar>
        </w:tblPrEx>
        <w:tc>
          <w:tcPr>
            <w:tcW w:w="179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985603F" w14:textId="77777777" w:rsidR="00FF230E" w:rsidRDefault="00FF230E" w:rsidP="002574B3">
            <w:r>
              <w:rPr>
                <w:b/>
                <w:bCs/>
                <w:color w:val="000000"/>
                <w:sz w:val="18"/>
                <w:szCs w:val="18"/>
              </w:rPr>
              <w:t>Phoenix East</w:t>
            </w:r>
          </w:p>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CCA56F0" w14:textId="77777777" w:rsidR="00FF230E" w:rsidRDefault="00FF230E" w:rsidP="002574B3">
            <w:pPr>
              <w:jc w:val="center"/>
            </w:pPr>
            <w:r>
              <w:rPr>
                <w:color w:val="000000"/>
                <w:sz w:val="18"/>
                <w:szCs w:val="18"/>
              </w:rPr>
              <w:t>23 × 60</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975E704" w14:textId="77777777" w:rsidR="00FF230E" w:rsidRDefault="00FF230E" w:rsidP="002574B3">
            <w:pPr>
              <w:jc w:val="center"/>
            </w:pPr>
            <w:r>
              <w:rPr>
                <w:color w:val="000000"/>
                <w:sz w:val="18"/>
                <w:szCs w:val="18"/>
              </w:rPr>
              <w:t>1,530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B2C5646"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EF6A2C1" w14:textId="77777777" w:rsidR="00FF230E" w:rsidRDefault="00FF230E" w:rsidP="002574B3">
            <w:pPr>
              <w:jc w:val="center"/>
            </w:pPr>
            <w:r>
              <w:rPr>
                <w:color w:val="000000"/>
                <w:sz w:val="18"/>
                <w:szCs w:val="18"/>
              </w:rPr>
              <w:t>75</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6CEB275"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2A12585" w14:textId="77777777" w:rsidR="00FF230E" w:rsidRDefault="00FF230E" w:rsidP="002574B3">
            <w:pPr>
              <w:jc w:val="center"/>
            </w:pPr>
            <w:r>
              <w:rPr>
                <w:color w:val="000000"/>
                <w:sz w:val="18"/>
                <w:szCs w:val="18"/>
              </w:rPr>
              <w:t>40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B293231"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677313B" w14:textId="77777777" w:rsidR="00FF230E" w:rsidRDefault="00FF230E" w:rsidP="002574B3">
            <w:pPr>
              <w:jc w:val="center"/>
            </w:pPr>
            <w:r>
              <w:rPr>
                <w:color w:val="000000"/>
                <w:sz w:val="18"/>
                <w:szCs w:val="18"/>
              </w:rPr>
              <w:t>$120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5A87D72" w14:textId="77777777" w:rsidR="00FF230E" w:rsidRDefault="00FF230E" w:rsidP="002574B3">
            <w:pPr>
              <w:jc w:val="center"/>
            </w:pPr>
            <w:r>
              <w:rPr>
                <w:color w:val="000000"/>
                <w:sz w:val="18"/>
                <w:szCs w:val="18"/>
              </w:rPr>
              <w:t>$120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BE17687" w14:textId="77777777" w:rsidR="00FF230E" w:rsidRDefault="00FF230E" w:rsidP="002574B3">
            <w:pPr>
              <w:jc w:val="center"/>
            </w:pPr>
            <w:r>
              <w:rPr>
                <w:color w:val="000000"/>
                <w:sz w:val="18"/>
                <w:szCs w:val="18"/>
              </w:rPr>
              <w:t>$200</w:t>
            </w:r>
          </w:p>
        </w:tc>
      </w:tr>
      <w:tr w:rsidR="00FF230E" w14:paraId="66AA1B36" w14:textId="77777777" w:rsidTr="002574B3">
        <w:tblPrEx>
          <w:tblCellMar>
            <w:top w:w="0" w:type="dxa"/>
            <w:bottom w:w="0" w:type="dxa"/>
          </w:tblCellMar>
        </w:tblPrEx>
        <w:tc>
          <w:tcPr>
            <w:tcW w:w="179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C88F0BD" w14:textId="77777777" w:rsidR="00FF230E" w:rsidRDefault="00FF230E" w:rsidP="002574B3">
            <w:r>
              <w:rPr>
                <w:b/>
                <w:bCs/>
                <w:color w:val="000000"/>
                <w:sz w:val="18"/>
                <w:szCs w:val="18"/>
              </w:rPr>
              <w:t>Phoenix on the Bay</w:t>
            </w:r>
          </w:p>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C884ECA" w14:textId="77777777" w:rsidR="00FF230E" w:rsidRDefault="00FF230E" w:rsidP="002574B3">
            <w:pPr>
              <w:jc w:val="center"/>
            </w:pPr>
            <w:r>
              <w:rPr>
                <w:color w:val="000000"/>
                <w:sz w:val="18"/>
                <w:szCs w:val="18"/>
              </w:rPr>
              <w:t>20 × 30</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44363D7" w14:textId="77777777" w:rsidR="00FF230E" w:rsidRDefault="00FF230E" w:rsidP="002574B3">
            <w:pPr>
              <w:jc w:val="center"/>
            </w:pPr>
            <w:r>
              <w:rPr>
                <w:color w:val="000000"/>
                <w:sz w:val="18"/>
                <w:szCs w:val="18"/>
              </w:rPr>
              <w:t>1,275</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859FB63" w14:textId="77777777" w:rsidR="00FF230E" w:rsidRDefault="00FF230E" w:rsidP="002574B3">
            <w:pPr>
              <w:jc w:val="center"/>
            </w:pPr>
            <w:r>
              <w:rPr>
                <w:color w:val="000000"/>
                <w:sz w:val="18"/>
                <w:szCs w:val="18"/>
              </w:rPr>
              <w:t>50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F0DB4FE" w14:textId="77777777" w:rsidR="00FF230E" w:rsidRDefault="00FF230E" w:rsidP="002574B3">
            <w:pPr>
              <w:jc w:val="center"/>
            </w:pPr>
            <w:r>
              <w:rPr>
                <w:color w:val="000000"/>
                <w:sz w:val="18"/>
                <w:szCs w:val="18"/>
              </w:rPr>
              <w:t>32</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BE55EAC" w14:textId="77777777" w:rsidR="00FF230E" w:rsidRDefault="00FF230E" w:rsidP="002574B3">
            <w:pPr>
              <w:jc w:val="center"/>
            </w:pPr>
            <w:r>
              <w:rPr>
                <w:color w:val="000000"/>
                <w:sz w:val="18"/>
                <w:szCs w:val="18"/>
              </w:rPr>
              <w:t>15</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96DC3A1" w14:textId="77777777" w:rsidR="00FF230E" w:rsidRDefault="00FF230E" w:rsidP="002574B3">
            <w:pPr>
              <w:jc w:val="center"/>
            </w:pPr>
            <w:r>
              <w:rPr>
                <w:color w:val="000000"/>
                <w:sz w:val="18"/>
                <w:szCs w:val="18"/>
              </w:rPr>
              <w:t>20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2F6B47B" w14:textId="77777777" w:rsidR="00FF230E" w:rsidRDefault="00FF230E" w:rsidP="002574B3">
            <w:pPr>
              <w:jc w:val="center"/>
            </w:pPr>
            <w:r>
              <w:rPr>
                <w:color w:val="000000"/>
                <w:sz w:val="18"/>
                <w:szCs w:val="18"/>
              </w:rPr>
              <w:t>50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D76A6FA" w14:textId="77777777" w:rsidR="00FF230E" w:rsidRDefault="00FF230E" w:rsidP="002574B3">
            <w:pPr>
              <w:jc w:val="center"/>
            </w:pPr>
            <w:r>
              <w:rPr>
                <w:color w:val="000000"/>
                <w:sz w:val="18"/>
                <w:szCs w:val="18"/>
              </w:rPr>
              <w:t>$120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BF0ABEC" w14:textId="77777777" w:rsidR="00FF230E" w:rsidRDefault="00FF230E" w:rsidP="002574B3">
            <w:pPr>
              <w:jc w:val="center"/>
            </w:pPr>
            <w:r>
              <w:rPr>
                <w:color w:val="000000"/>
                <w:sz w:val="18"/>
                <w:szCs w:val="18"/>
              </w:rPr>
              <w:t>$120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B00542D" w14:textId="77777777" w:rsidR="00FF230E" w:rsidRDefault="00FF230E" w:rsidP="002574B3">
            <w:pPr>
              <w:jc w:val="center"/>
            </w:pPr>
            <w:r>
              <w:rPr>
                <w:color w:val="000000"/>
                <w:sz w:val="18"/>
                <w:szCs w:val="18"/>
              </w:rPr>
              <w:t>$200</w:t>
            </w:r>
          </w:p>
        </w:tc>
      </w:tr>
      <w:tr w:rsidR="00FF230E" w14:paraId="0254BD78" w14:textId="77777777" w:rsidTr="002574B3">
        <w:tblPrEx>
          <w:tblCellMar>
            <w:top w:w="0" w:type="dxa"/>
            <w:bottom w:w="0" w:type="dxa"/>
          </w:tblCellMar>
        </w:tblPrEx>
        <w:tc>
          <w:tcPr>
            <w:tcW w:w="1790" w:type="dxa"/>
            <w:vMerge w:val="restart"/>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6E2D0CB" w14:textId="77777777" w:rsidR="00FF230E" w:rsidRDefault="00FF230E" w:rsidP="002574B3">
            <w:r>
              <w:rPr>
                <w:b/>
                <w:bCs/>
                <w:color w:val="000000"/>
                <w:sz w:val="18"/>
                <w:szCs w:val="18"/>
              </w:rPr>
              <w:t>Phoenix Orange Beach</w:t>
            </w:r>
          </w:p>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670BDFB" w14:textId="77777777" w:rsidR="00FF230E" w:rsidRDefault="00FF230E" w:rsidP="002574B3">
            <w:pPr>
              <w:jc w:val="center"/>
            </w:pPr>
            <w:r>
              <w:rPr>
                <w:color w:val="000000"/>
                <w:sz w:val="18"/>
                <w:szCs w:val="18"/>
              </w:rPr>
              <w:t>30'8" × 61'</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E3535E8" w14:textId="77777777" w:rsidR="00FF230E" w:rsidRDefault="00FF230E" w:rsidP="002574B3">
            <w:pPr>
              <w:jc w:val="center"/>
            </w:pPr>
            <w:r>
              <w:rPr>
                <w:color w:val="000000"/>
                <w:sz w:val="18"/>
                <w:szCs w:val="18"/>
              </w:rPr>
              <w:t>1,860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A61B217"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0F9E7AA" w14:textId="77777777" w:rsidR="00FF230E" w:rsidRDefault="00FF230E" w:rsidP="002574B3">
            <w:pPr>
              <w:jc w:val="center"/>
            </w:pPr>
            <w:r>
              <w:rPr>
                <w:color w:val="000000"/>
                <w:sz w:val="18"/>
                <w:szCs w:val="18"/>
              </w:rPr>
              <w:t>50</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E3906EE"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CCB8558" w14:textId="77777777" w:rsidR="00FF230E" w:rsidRDefault="00FF230E" w:rsidP="002574B3">
            <w:pPr>
              <w:jc w:val="center"/>
            </w:pPr>
            <w:r>
              <w:rPr>
                <w:color w:val="000000"/>
                <w:sz w:val="18"/>
                <w:szCs w:val="18"/>
              </w:rPr>
              <w:t>30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6C75EBD"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98A720C" w14:textId="77777777" w:rsidR="00FF230E" w:rsidRDefault="00FF230E" w:rsidP="002574B3">
            <w:pPr>
              <w:jc w:val="center"/>
            </w:pPr>
            <w:r>
              <w:rPr>
                <w:color w:val="000000"/>
                <w:sz w:val="18"/>
                <w:szCs w:val="18"/>
              </w:rPr>
              <w:t>$400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F45F3BA" w14:textId="77777777" w:rsidR="00FF230E" w:rsidRDefault="00FF230E" w:rsidP="002574B3">
            <w:pPr>
              <w:jc w:val="center"/>
            </w:pPr>
            <w:r>
              <w:rPr>
                <w:color w:val="000000"/>
                <w:sz w:val="18"/>
                <w:szCs w:val="18"/>
              </w:rPr>
              <w:t>$400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9A3F757" w14:textId="77777777" w:rsidR="00FF230E" w:rsidRDefault="00FF230E" w:rsidP="002574B3">
            <w:pPr>
              <w:jc w:val="center"/>
            </w:pPr>
            <w:r>
              <w:rPr>
                <w:color w:val="000000"/>
                <w:sz w:val="18"/>
                <w:szCs w:val="18"/>
              </w:rPr>
              <w:t>$750</w:t>
            </w:r>
          </w:p>
        </w:tc>
      </w:tr>
      <w:tr w:rsidR="00FF230E" w14:paraId="0765B0F4"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tcPr>
          <w:p w14:paraId="07F5578C"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A2C5D1E" w14:textId="77777777" w:rsidR="00FF230E" w:rsidRDefault="00FF230E" w:rsidP="002574B3">
            <w:pPr>
              <w:jc w:val="center"/>
            </w:pPr>
            <w:r>
              <w:rPr>
                <w:color w:val="000000"/>
                <w:sz w:val="18"/>
                <w:szCs w:val="18"/>
              </w:rPr>
              <w:t>30'8" × 61'</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2FD2EC4" w14:textId="77777777" w:rsidR="00FF230E" w:rsidRDefault="00FF230E" w:rsidP="002574B3">
            <w:pPr>
              <w:jc w:val="center"/>
            </w:pPr>
            <w:r>
              <w:rPr>
                <w:color w:val="000000"/>
                <w:sz w:val="18"/>
                <w:szCs w:val="18"/>
              </w:rPr>
              <w:t>1,860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5F7EED2"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391AB0F" w14:textId="77777777" w:rsidR="00FF230E" w:rsidRDefault="00FF230E" w:rsidP="002574B3">
            <w:pPr>
              <w:jc w:val="center"/>
            </w:pPr>
            <w:r>
              <w:rPr>
                <w:color w:val="000000"/>
                <w:sz w:val="18"/>
                <w:szCs w:val="18"/>
              </w:rPr>
              <w:t>50</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65C1DD6"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6F18E35" w14:textId="77777777" w:rsidR="00FF230E" w:rsidRDefault="00FF230E" w:rsidP="002574B3">
            <w:pPr>
              <w:jc w:val="center"/>
            </w:pPr>
            <w:r>
              <w:rPr>
                <w:color w:val="000000"/>
                <w:sz w:val="18"/>
                <w:szCs w:val="18"/>
              </w:rPr>
              <w:t>30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BE95D93"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2B78D78" w14:textId="77777777" w:rsidR="00FF230E" w:rsidRDefault="00FF230E" w:rsidP="002574B3">
            <w:pPr>
              <w:jc w:val="center"/>
            </w:pPr>
            <w:r>
              <w:rPr>
                <w:color w:val="000000"/>
                <w:sz w:val="18"/>
                <w:szCs w:val="18"/>
              </w:rPr>
              <w:t>$400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6BB0FDB" w14:textId="77777777" w:rsidR="00FF230E" w:rsidRDefault="00FF230E" w:rsidP="002574B3">
            <w:pPr>
              <w:jc w:val="center"/>
            </w:pPr>
            <w:r>
              <w:rPr>
                <w:color w:val="000000"/>
                <w:sz w:val="18"/>
                <w:szCs w:val="18"/>
              </w:rPr>
              <w:t>$400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15C278A" w14:textId="77777777" w:rsidR="00FF230E" w:rsidRDefault="00FF230E" w:rsidP="002574B3">
            <w:pPr>
              <w:jc w:val="center"/>
            </w:pPr>
            <w:r>
              <w:rPr>
                <w:color w:val="000000"/>
                <w:sz w:val="18"/>
                <w:szCs w:val="18"/>
              </w:rPr>
              <w:t>$750</w:t>
            </w:r>
          </w:p>
        </w:tc>
      </w:tr>
      <w:tr w:rsidR="00FF230E" w14:paraId="23F38C73"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tcPr>
          <w:p w14:paraId="63422F9E"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D29BC54" w14:textId="77777777" w:rsidR="00FF230E" w:rsidRDefault="00FF230E" w:rsidP="002574B3">
            <w:pPr>
              <w:jc w:val="center"/>
            </w:pPr>
            <w:r>
              <w:rPr>
                <w:color w:val="000000"/>
                <w:sz w:val="18"/>
                <w:szCs w:val="18"/>
              </w:rPr>
              <w:t>30'8" × 61'</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52ACCFD" w14:textId="77777777" w:rsidR="00FF230E" w:rsidRDefault="00FF230E" w:rsidP="002574B3">
            <w:pPr>
              <w:jc w:val="center"/>
            </w:pPr>
            <w:r>
              <w:rPr>
                <w:color w:val="000000"/>
                <w:sz w:val="18"/>
                <w:szCs w:val="18"/>
              </w:rPr>
              <w:t>1,860</w:t>
            </w: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606E419"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16952EC" w14:textId="77777777" w:rsidR="00FF230E" w:rsidRDefault="00FF230E" w:rsidP="002574B3">
            <w:pPr>
              <w:jc w:val="center"/>
            </w:pPr>
            <w:r>
              <w:rPr>
                <w:color w:val="000000"/>
                <w:sz w:val="18"/>
                <w:szCs w:val="18"/>
              </w:rPr>
              <w:t>50</w:t>
            </w: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09EF848"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DA7C61C" w14:textId="77777777" w:rsidR="00FF230E" w:rsidRDefault="00FF230E" w:rsidP="002574B3">
            <w:pPr>
              <w:jc w:val="center"/>
            </w:pPr>
            <w:r>
              <w:rPr>
                <w:color w:val="000000"/>
                <w:sz w:val="18"/>
                <w:szCs w:val="18"/>
              </w:rPr>
              <w:t>30</w:t>
            </w: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86805DA"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9B54255" w14:textId="77777777" w:rsidR="00FF230E" w:rsidRDefault="00FF230E" w:rsidP="002574B3">
            <w:pPr>
              <w:jc w:val="center"/>
            </w:pPr>
            <w:r>
              <w:rPr>
                <w:color w:val="000000"/>
                <w:sz w:val="18"/>
                <w:szCs w:val="18"/>
              </w:rPr>
              <w:t>$400</w:t>
            </w: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9BE6AF5" w14:textId="77777777" w:rsidR="00FF230E" w:rsidRDefault="00FF230E" w:rsidP="002574B3">
            <w:pPr>
              <w:jc w:val="center"/>
            </w:pPr>
            <w:r>
              <w:rPr>
                <w:color w:val="000000"/>
                <w:sz w:val="18"/>
                <w:szCs w:val="18"/>
              </w:rPr>
              <w:t>$400</w:t>
            </w: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919F5B2" w14:textId="77777777" w:rsidR="00FF230E" w:rsidRDefault="00FF230E" w:rsidP="002574B3">
            <w:pPr>
              <w:jc w:val="center"/>
            </w:pPr>
            <w:r>
              <w:rPr>
                <w:color w:val="000000"/>
                <w:sz w:val="18"/>
                <w:szCs w:val="18"/>
              </w:rPr>
              <w:t>$750</w:t>
            </w:r>
          </w:p>
        </w:tc>
      </w:tr>
      <w:tr w:rsidR="00FF230E" w14:paraId="18046F5B" w14:textId="77777777" w:rsidTr="002574B3">
        <w:tblPrEx>
          <w:tblCellMar>
            <w:top w:w="0" w:type="dxa"/>
            <w:bottom w:w="0" w:type="dxa"/>
          </w:tblCellMar>
        </w:tblPrEx>
        <w:tc>
          <w:tcPr>
            <w:tcW w:w="1790" w:type="dxa"/>
            <w:vMerge w:val="restart"/>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515FE900" w14:textId="77777777" w:rsidR="00FF230E" w:rsidRDefault="00FF230E" w:rsidP="002574B3">
            <w:r>
              <w:rPr>
                <w:b/>
                <w:bCs/>
                <w:color w:val="000000"/>
                <w:sz w:val="18"/>
                <w:szCs w:val="18"/>
              </w:rPr>
              <w:t>Phoenix Orange Beach II</w:t>
            </w:r>
          </w:p>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77A7AF1" w14:textId="77777777" w:rsidR="00FF230E" w:rsidRDefault="00FF230E" w:rsidP="002574B3">
            <w:pPr>
              <w:jc w:val="center"/>
            </w:pPr>
            <w:r>
              <w:rPr>
                <w:color w:val="000000"/>
                <w:sz w:val="18"/>
                <w:szCs w:val="18"/>
              </w:rPr>
              <w:t>30'8" × 61'</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0CB5680" w14:textId="77777777" w:rsidR="00FF230E" w:rsidRDefault="00FF230E" w:rsidP="002574B3">
            <w:pPr>
              <w:jc w:val="center"/>
            </w:pPr>
            <w:r>
              <w:rPr>
                <w:color w:val="000000"/>
                <w:sz w:val="18"/>
                <w:szCs w:val="18"/>
              </w:rPr>
              <w:t>1,860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3C25C5D"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25E6342" w14:textId="77777777" w:rsidR="00FF230E" w:rsidRDefault="00FF230E" w:rsidP="002574B3">
            <w:pPr>
              <w:jc w:val="center"/>
            </w:pPr>
            <w:r>
              <w:rPr>
                <w:color w:val="000000"/>
                <w:sz w:val="18"/>
                <w:szCs w:val="18"/>
              </w:rPr>
              <w:t>50</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7A129E09"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745AEEA" w14:textId="77777777" w:rsidR="00FF230E" w:rsidRDefault="00FF230E" w:rsidP="002574B3">
            <w:pPr>
              <w:jc w:val="center"/>
            </w:pPr>
            <w:r>
              <w:rPr>
                <w:color w:val="000000"/>
                <w:sz w:val="18"/>
                <w:szCs w:val="18"/>
              </w:rPr>
              <w:t>30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7542A4B"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2E72635" w14:textId="77777777" w:rsidR="00FF230E" w:rsidRDefault="00FF230E" w:rsidP="002574B3">
            <w:pPr>
              <w:jc w:val="center"/>
            </w:pPr>
            <w:r>
              <w:rPr>
                <w:color w:val="000000"/>
                <w:sz w:val="18"/>
                <w:szCs w:val="18"/>
              </w:rPr>
              <w:t>$400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8B1AA7A" w14:textId="77777777" w:rsidR="00FF230E" w:rsidRDefault="00FF230E" w:rsidP="002574B3">
            <w:pPr>
              <w:jc w:val="center"/>
            </w:pPr>
            <w:r>
              <w:rPr>
                <w:color w:val="000000"/>
                <w:sz w:val="18"/>
                <w:szCs w:val="18"/>
              </w:rPr>
              <w:t>$400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2E5E164" w14:textId="77777777" w:rsidR="00FF230E" w:rsidRDefault="00FF230E" w:rsidP="002574B3">
            <w:pPr>
              <w:jc w:val="center"/>
            </w:pPr>
            <w:r>
              <w:rPr>
                <w:color w:val="000000"/>
                <w:sz w:val="18"/>
                <w:szCs w:val="18"/>
              </w:rPr>
              <w:t>$750</w:t>
            </w:r>
          </w:p>
        </w:tc>
      </w:tr>
      <w:tr w:rsidR="00FF230E" w14:paraId="602BF299" w14:textId="77777777" w:rsidTr="002574B3">
        <w:tblPrEx>
          <w:tblCellMar>
            <w:top w:w="0" w:type="dxa"/>
            <w:bottom w:w="0" w:type="dxa"/>
          </w:tblCellMar>
        </w:tblPrEx>
        <w:tc>
          <w:tcPr>
            <w:tcW w:w="1790" w:type="dxa"/>
            <w:vMerge/>
            <w:tcBorders>
              <w:top w:val="single" w:sz="1" w:space="0" w:color="CCCCCC"/>
              <w:left w:val="single" w:sz="1" w:space="0" w:color="CCCCCC"/>
              <w:bottom w:val="single" w:sz="1" w:space="0" w:color="CCCCCC"/>
              <w:right w:val="single" w:sz="1" w:space="0" w:color="CCCCCC"/>
            </w:tcBorders>
            <w:shd w:val="clear" w:color="auto" w:fill="DAE9F7" w:themeFill="text2" w:themeFillTint="1A"/>
          </w:tcPr>
          <w:p w14:paraId="7D30A81B" w14:textId="77777777" w:rsidR="00FF230E" w:rsidRDefault="00FF230E" w:rsidP="002574B3"/>
        </w:tc>
        <w:tc>
          <w:tcPr>
            <w:tcW w:w="119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EAE20E6" w14:textId="77777777" w:rsidR="00FF230E" w:rsidRDefault="00FF230E" w:rsidP="002574B3">
            <w:pPr>
              <w:jc w:val="center"/>
            </w:pPr>
            <w:r>
              <w:rPr>
                <w:color w:val="000000"/>
                <w:sz w:val="18"/>
                <w:szCs w:val="18"/>
              </w:rPr>
              <w:t>30'8" × 61'</w:t>
            </w:r>
          </w:p>
        </w:tc>
        <w:tc>
          <w:tcPr>
            <w:tcW w:w="71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930F299" w14:textId="77777777" w:rsidR="00FF230E" w:rsidRDefault="00FF230E" w:rsidP="002574B3">
            <w:pPr>
              <w:jc w:val="center"/>
            </w:pPr>
            <w:r>
              <w:rPr>
                <w:color w:val="000000"/>
                <w:sz w:val="18"/>
                <w:szCs w:val="18"/>
              </w:rPr>
              <w:t>1,860</w:t>
            </w:r>
          </w:p>
        </w:tc>
        <w:tc>
          <w:tcPr>
            <w:tcW w:w="815"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5D77F4C" w14:textId="77777777" w:rsidR="00FF230E" w:rsidRDefault="00FF230E" w:rsidP="002574B3">
            <w:pPr>
              <w:jc w:val="center"/>
            </w:pPr>
            <w:r>
              <w:rPr>
                <w:color w:val="000000"/>
                <w:sz w:val="18"/>
                <w:szCs w:val="18"/>
              </w:rPr>
              <w:t>100</w:t>
            </w:r>
          </w:p>
        </w:tc>
        <w:tc>
          <w:tcPr>
            <w:tcW w:w="1079"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73B446D" w14:textId="77777777" w:rsidR="00FF230E" w:rsidRDefault="00FF230E" w:rsidP="002574B3">
            <w:pPr>
              <w:jc w:val="center"/>
            </w:pPr>
            <w:r>
              <w:rPr>
                <w:color w:val="000000"/>
                <w:sz w:val="18"/>
                <w:szCs w:val="18"/>
              </w:rPr>
              <w:t>50</w:t>
            </w:r>
          </w:p>
        </w:tc>
        <w:tc>
          <w:tcPr>
            <w:tcW w:w="753"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7BCDDD2" w14:textId="77777777" w:rsidR="00FF230E" w:rsidRDefault="00FF230E" w:rsidP="002574B3">
            <w:pPr>
              <w:jc w:val="center"/>
            </w:pPr>
            <w:r>
              <w:rPr>
                <w:color w:val="000000"/>
                <w:sz w:val="18"/>
                <w:szCs w:val="18"/>
              </w:rPr>
              <w:t>30</w:t>
            </w:r>
          </w:p>
        </w:tc>
        <w:tc>
          <w:tcPr>
            <w:tcW w:w="8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3967B10" w14:textId="77777777" w:rsidR="00FF230E" w:rsidRDefault="00FF230E" w:rsidP="002574B3">
            <w:pPr>
              <w:jc w:val="center"/>
            </w:pPr>
            <w:r>
              <w:rPr>
                <w:color w:val="000000"/>
                <w:sz w:val="18"/>
                <w:szCs w:val="18"/>
              </w:rPr>
              <w:t>30</w:t>
            </w:r>
          </w:p>
        </w:tc>
        <w:tc>
          <w:tcPr>
            <w:tcW w:w="947"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EFBCA04" w14:textId="77777777" w:rsidR="00FF230E" w:rsidRDefault="00FF230E" w:rsidP="002574B3">
            <w:pPr>
              <w:jc w:val="center"/>
            </w:pPr>
            <w:r>
              <w:rPr>
                <w:color w:val="000000"/>
                <w:sz w:val="18"/>
                <w:szCs w:val="18"/>
              </w:rPr>
              <w:t>60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6C81AD94" w14:textId="77777777" w:rsidR="00FF230E" w:rsidRDefault="00FF230E" w:rsidP="002574B3">
            <w:pPr>
              <w:jc w:val="center"/>
            </w:pPr>
            <w:r>
              <w:rPr>
                <w:color w:val="000000"/>
                <w:sz w:val="18"/>
                <w:szCs w:val="18"/>
              </w:rPr>
              <w:t>$400</w:t>
            </w:r>
          </w:p>
        </w:tc>
        <w:tc>
          <w:tcPr>
            <w:tcW w:w="83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45ECF476" w14:textId="77777777" w:rsidR="00FF230E" w:rsidRDefault="00FF230E" w:rsidP="002574B3">
            <w:pPr>
              <w:jc w:val="center"/>
            </w:pPr>
            <w:r>
              <w:rPr>
                <w:color w:val="000000"/>
                <w:sz w:val="18"/>
                <w:szCs w:val="18"/>
              </w:rPr>
              <w:t>$400</w:t>
            </w:r>
          </w:p>
        </w:tc>
        <w:tc>
          <w:tcPr>
            <w:tcW w:w="822"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2E6B29B6" w14:textId="77777777" w:rsidR="00FF230E" w:rsidRDefault="00FF230E" w:rsidP="002574B3">
            <w:pPr>
              <w:jc w:val="center"/>
            </w:pPr>
            <w:r>
              <w:rPr>
                <w:color w:val="000000"/>
                <w:sz w:val="18"/>
                <w:szCs w:val="18"/>
              </w:rPr>
              <w:t>$750</w:t>
            </w:r>
          </w:p>
        </w:tc>
      </w:tr>
      <w:tr w:rsidR="00FF230E" w14:paraId="64FB9C48" w14:textId="77777777" w:rsidTr="002574B3">
        <w:tblPrEx>
          <w:tblCellMar>
            <w:top w:w="0" w:type="dxa"/>
            <w:bottom w:w="0" w:type="dxa"/>
          </w:tblCellMar>
        </w:tblPrEx>
        <w:tc>
          <w:tcPr>
            <w:tcW w:w="1790" w:type="dxa"/>
            <w:tcBorders>
              <w:top w:val="single" w:sz="1" w:space="0" w:color="CCCCCC"/>
              <w:left w:val="single" w:sz="1" w:space="0" w:color="CCCCCC"/>
              <w:bottom w:val="single" w:sz="1" w:space="0" w:color="CCCCCC"/>
              <w:right w:val="single" w:sz="1" w:space="0" w:color="CCCCCC"/>
            </w:tcBorders>
          </w:tcPr>
          <w:p w14:paraId="1106BC5D" w14:textId="77777777" w:rsidR="00FF230E" w:rsidRDefault="00FF230E" w:rsidP="002574B3">
            <w:r>
              <w:rPr>
                <w:b/>
                <w:bCs/>
                <w:color w:val="000000"/>
                <w:sz w:val="18"/>
                <w:szCs w:val="18"/>
              </w:rPr>
              <w:t>Phoenix Gulf Shores II</w:t>
            </w:r>
          </w:p>
        </w:tc>
        <w:tc>
          <w:tcPr>
            <w:tcW w:w="119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4A74FB06" w14:textId="77777777" w:rsidR="00FF230E" w:rsidRDefault="00FF230E" w:rsidP="002574B3">
            <w:pPr>
              <w:jc w:val="center"/>
              <w:rPr>
                <w:color w:val="000000"/>
                <w:sz w:val="18"/>
                <w:szCs w:val="18"/>
              </w:rPr>
            </w:pPr>
            <w:r>
              <w:rPr>
                <w:color w:val="000000"/>
                <w:sz w:val="18"/>
                <w:szCs w:val="18"/>
              </w:rPr>
              <w:t>Coming Soon</w:t>
            </w:r>
          </w:p>
        </w:tc>
        <w:tc>
          <w:tcPr>
            <w:tcW w:w="71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4CEFAB6" w14:textId="77777777" w:rsidR="00FF230E" w:rsidRDefault="00FF230E" w:rsidP="002574B3">
            <w:pPr>
              <w:jc w:val="center"/>
              <w:rPr>
                <w:color w:val="000000"/>
                <w:sz w:val="18"/>
                <w:szCs w:val="18"/>
              </w:rPr>
            </w:pPr>
          </w:p>
        </w:tc>
        <w:tc>
          <w:tcPr>
            <w:tcW w:w="815"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374D051" w14:textId="77777777" w:rsidR="00FF230E" w:rsidRDefault="00FF230E" w:rsidP="002574B3">
            <w:pPr>
              <w:jc w:val="center"/>
              <w:rPr>
                <w:color w:val="000000"/>
                <w:sz w:val="18"/>
                <w:szCs w:val="18"/>
              </w:rPr>
            </w:pPr>
          </w:p>
        </w:tc>
        <w:tc>
          <w:tcPr>
            <w:tcW w:w="1079"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03686FBF" w14:textId="77777777" w:rsidR="00FF230E" w:rsidRDefault="00FF230E" w:rsidP="002574B3">
            <w:pPr>
              <w:jc w:val="center"/>
              <w:rPr>
                <w:color w:val="000000"/>
                <w:sz w:val="18"/>
                <w:szCs w:val="18"/>
              </w:rPr>
            </w:pPr>
          </w:p>
        </w:tc>
        <w:tc>
          <w:tcPr>
            <w:tcW w:w="753"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893AE54" w14:textId="77777777" w:rsidR="00FF230E" w:rsidRDefault="00FF230E" w:rsidP="002574B3">
            <w:pPr>
              <w:jc w:val="center"/>
              <w:rPr>
                <w:color w:val="000000"/>
                <w:sz w:val="18"/>
                <w:szCs w:val="18"/>
              </w:rPr>
            </w:pPr>
          </w:p>
        </w:tc>
        <w:tc>
          <w:tcPr>
            <w:tcW w:w="8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3493B258" w14:textId="77777777" w:rsidR="00FF230E" w:rsidRDefault="00FF230E" w:rsidP="002574B3">
            <w:pPr>
              <w:jc w:val="center"/>
              <w:rPr>
                <w:color w:val="000000"/>
                <w:sz w:val="18"/>
                <w:szCs w:val="18"/>
              </w:rPr>
            </w:pPr>
          </w:p>
        </w:tc>
        <w:tc>
          <w:tcPr>
            <w:tcW w:w="947"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12DAE0A" w14:textId="77777777" w:rsidR="00FF230E" w:rsidRDefault="00FF230E" w:rsidP="002574B3">
            <w:pPr>
              <w:jc w:val="center"/>
              <w:rPr>
                <w:color w:val="000000"/>
                <w:sz w:val="18"/>
                <w:szCs w:val="18"/>
              </w:rPr>
            </w:pP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707A87D4" w14:textId="77777777" w:rsidR="00FF230E" w:rsidRDefault="00FF230E" w:rsidP="002574B3">
            <w:pPr>
              <w:jc w:val="center"/>
              <w:rPr>
                <w:color w:val="000000"/>
                <w:sz w:val="18"/>
                <w:szCs w:val="18"/>
              </w:rPr>
            </w:pPr>
          </w:p>
        </w:tc>
        <w:tc>
          <w:tcPr>
            <w:tcW w:w="83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7B9B3D2" w14:textId="77777777" w:rsidR="00FF230E" w:rsidRDefault="00FF230E" w:rsidP="002574B3">
            <w:pPr>
              <w:jc w:val="center"/>
              <w:rPr>
                <w:color w:val="000000"/>
                <w:sz w:val="18"/>
                <w:szCs w:val="18"/>
              </w:rPr>
            </w:pPr>
          </w:p>
        </w:tc>
        <w:tc>
          <w:tcPr>
            <w:tcW w:w="822"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1A345708" w14:textId="77777777" w:rsidR="00FF230E" w:rsidRDefault="00FF230E" w:rsidP="002574B3">
            <w:pPr>
              <w:jc w:val="center"/>
              <w:rPr>
                <w:color w:val="000000"/>
                <w:sz w:val="18"/>
                <w:szCs w:val="18"/>
              </w:rPr>
            </w:pPr>
          </w:p>
        </w:tc>
      </w:tr>
    </w:tbl>
    <w:p w14:paraId="23A74FD9" w14:textId="77777777" w:rsidR="00FF230E" w:rsidRDefault="00FF230E" w:rsidP="00FF230E">
      <w:pPr>
        <w:spacing w:before="80"/>
      </w:pPr>
    </w:p>
    <w:p w14:paraId="64AEFB91" w14:textId="77777777" w:rsidR="00FF230E" w:rsidRDefault="00FF230E" w:rsidP="00FF230E">
      <w:pPr>
        <w:spacing w:after="60"/>
      </w:pPr>
      <w:r>
        <w:rPr>
          <w:i/>
          <w:iCs/>
          <w:color w:val="555555"/>
        </w:rPr>
        <w:t>* Banquet capacity shown reflects banquet-table setup. Banquet-rounds capacity may differ.</w:t>
      </w:r>
    </w:p>
    <w:p w14:paraId="27F5CB4F" w14:textId="77777777" w:rsidR="00FF230E" w:rsidRDefault="00FF230E" w:rsidP="00FF230E">
      <w:pPr>
        <w:spacing w:after="120"/>
        <w:rPr>
          <w:i/>
          <w:iCs/>
          <w:color w:val="555555"/>
        </w:rPr>
      </w:pPr>
      <w:r>
        <w:rPr>
          <w:i/>
          <w:iCs/>
          <w:color w:val="555555"/>
        </w:rPr>
        <w:t xml:space="preserve">† AM = 8am–2pm | PM = 4pm–10pm 2pm | Full Day = 8am-10pm. April–September rates are charged per day. October–March rates are charged per stay (3 Days Max) at most properties (Phoenix West, Phoenix Gulf Shores, Phoenix Orange Beach, and Phoenix Orange Beach II remain per-day year-round). </w:t>
      </w:r>
    </w:p>
    <w:p w14:paraId="1B85632D" w14:textId="77777777" w:rsidR="00FF230E" w:rsidRDefault="00FF230E" w:rsidP="00FF230E">
      <w:pPr>
        <w:spacing w:after="120"/>
      </w:pPr>
      <w:r w:rsidRPr="002E5E79">
        <w:rPr>
          <w:i/>
          <w:iCs/>
          <w:color w:val="555555"/>
        </w:rPr>
        <w:t xml:space="preserve">Maximum capacity shown per setup. A $250 setup fee applies </w:t>
      </w:r>
      <w:proofErr w:type="gramStart"/>
      <w:r w:rsidRPr="002E5E79">
        <w:rPr>
          <w:i/>
          <w:iCs/>
          <w:color w:val="555555"/>
        </w:rPr>
        <w:t>at</w:t>
      </w:r>
      <w:proofErr w:type="gramEnd"/>
      <w:r w:rsidRPr="002E5E79">
        <w:rPr>
          <w:i/>
          <w:iCs/>
          <w:color w:val="555555"/>
        </w:rPr>
        <w:t xml:space="preserve"> all properties.</w:t>
      </w:r>
      <w:r>
        <w:rPr>
          <w:i/>
          <w:iCs/>
          <w:color w:val="555555"/>
        </w:rPr>
        <w:t xml:space="preserve"> Events at </w:t>
      </w:r>
      <w:r w:rsidRPr="00744AC4">
        <w:rPr>
          <w:i/>
          <w:iCs/>
          <w:color w:val="555555"/>
        </w:rPr>
        <w:t>Phoenix West with 75 or more attendees require licensed security</w:t>
      </w:r>
      <w:r w:rsidRPr="002E5E79">
        <w:rPr>
          <w:i/>
          <w:iCs/>
          <w:color w:val="555555"/>
        </w:rPr>
        <w:t xml:space="preserve"> </w:t>
      </w:r>
    </w:p>
    <w:p w14:paraId="673A8824" w14:textId="77777777" w:rsidR="00FF230E" w:rsidRDefault="00FF230E" w:rsidP="00FF230E">
      <w:pPr>
        <w:spacing w:before="120"/>
      </w:pPr>
    </w:p>
    <w:p w14:paraId="4B85C244" w14:textId="77777777" w:rsidR="00FF230E" w:rsidRDefault="00FF230E" w:rsidP="00FF230E">
      <w:pPr>
        <w:spacing w:after="120"/>
      </w:pPr>
    </w:p>
    <w:p w14:paraId="657A87D6" w14:textId="77777777" w:rsidR="00FF230E" w:rsidRDefault="00FF230E" w:rsidP="00FF230E">
      <w:pPr>
        <w:spacing w:before="160"/>
      </w:pPr>
    </w:p>
    <w:p w14:paraId="28BA147B" w14:textId="77777777" w:rsidR="00FF230E" w:rsidRDefault="00FF230E" w:rsidP="00FF230E">
      <w:pPr>
        <w:pStyle w:val="Heading1"/>
        <w:pBdr>
          <w:bottom w:val="single" w:sz="8" w:space="4" w:color="2E75B6"/>
        </w:pBdr>
      </w:pPr>
      <w:r>
        <w:rPr>
          <w:rFonts w:ascii="Arial" w:eastAsia="Arial" w:hAnsi="Arial" w:cs="Arial"/>
          <w:b/>
          <w:bCs/>
          <w:color w:val="1F4E79"/>
          <w:sz w:val="28"/>
          <w:szCs w:val="28"/>
        </w:rPr>
        <w:lastRenderedPageBreak/>
        <w:t>Meeting Room Rental Requirements</w:t>
      </w:r>
    </w:p>
    <w:p w14:paraId="05B07034" w14:textId="77777777" w:rsidR="00FF230E" w:rsidRDefault="00FF230E" w:rsidP="00FF230E">
      <w:pPr>
        <w:pStyle w:val="Heading2"/>
      </w:pPr>
      <w:r>
        <w:rPr>
          <w:rFonts w:ascii="Arial" w:eastAsia="Arial" w:hAnsi="Arial" w:cs="Arial"/>
          <w:b/>
          <w:bCs/>
          <w:color w:val="2E75B6"/>
          <w:sz w:val="24"/>
          <w:szCs w:val="24"/>
        </w:rPr>
        <w:t>Condo Rental Requirement</w:t>
      </w:r>
    </w:p>
    <w:p w14:paraId="5CCD333C" w14:textId="77777777" w:rsidR="00FF230E" w:rsidRDefault="00FF230E" w:rsidP="00FF230E">
      <w:pPr>
        <w:pStyle w:val="ListParagraph"/>
        <w:numPr>
          <w:ilvl w:val="0"/>
          <w:numId w:val="1"/>
        </w:numPr>
        <w:spacing w:after="80"/>
        <w:contextualSpacing w:val="0"/>
      </w:pPr>
      <w:r>
        <w:t>A minimum of 5 condos or beach houses must be rented through Brett/Robinson</w:t>
      </w:r>
    </w:p>
    <w:p w14:paraId="4733756A" w14:textId="77777777" w:rsidR="00FF230E" w:rsidRDefault="00FF230E" w:rsidP="00FF230E">
      <w:pPr>
        <w:pStyle w:val="ListParagraph"/>
        <w:numPr>
          <w:ilvl w:val="0"/>
          <w:numId w:val="1"/>
        </w:numPr>
        <w:spacing w:after="80"/>
        <w:contextualSpacing w:val="0"/>
      </w:pPr>
      <w:r>
        <w:t>Groups who do not meet the rental requirements will be charged a $250 non-refundable administrative fee for meeting room use</w:t>
      </w:r>
    </w:p>
    <w:p w14:paraId="1C2C3D93" w14:textId="77777777" w:rsidR="00FF230E" w:rsidRDefault="00FF230E" w:rsidP="00FF230E">
      <w:pPr>
        <w:pStyle w:val="Heading1"/>
        <w:pBdr>
          <w:bottom w:val="single" w:sz="8" w:space="4" w:color="2E75B6"/>
        </w:pBdr>
      </w:pPr>
      <w:r>
        <w:rPr>
          <w:rFonts w:ascii="Arial" w:eastAsia="Arial" w:hAnsi="Arial" w:cs="Arial"/>
          <w:b/>
          <w:bCs/>
          <w:color w:val="1F4E79"/>
          <w:sz w:val="28"/>
          <w:szCs w:val="28"/>
        </w:rPr>
        <w:t>Group Discount</w:t>
      </w:r>
      <w:r>
        <w:t>s</w:t>
      </w:r>
    </w:p>
    <w:p w14:paraId="6842F09D" w14:textId="77777777" w:rsidR="00FF230E" w:rsidRDefault="00FF230E" w:rsidP="00FF230E">
      <w:pPr>
        <w:spacing w:after="120"/>
      </w:pPr>
      <w:r>
        <w:rPr>
          <w:color w:val="000000"/>
        </w:rPr>
        <w:t>Group discounts apply to stays that include 5 or more units booked together for the same period. Discounts are applied to the nightly rental rate.</w:t>
      </w:r>
    </w:p>
    <w:p w14:paraId="6B15AA6C" w14:textId="77777777" w:rsidR="00FF230E" w:rsidRDefault="00FF230E" w:rsidP="00FF230E">
      <w:pPr>
        <w:spacing w:before="80"/>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400"/>
        <w:gridCol w:w="5200"/>
      </w:tblGrid>
      <w:tr w:rsidR="00FF230E" w14:paraId="08BF004B" w14:textId="77777777" w:rsidTr="002574B3">
        <w:tblPrEx>
          <w:tblCellMar>
            <w:top w:w="0" w:type="dxa"/>
            <w:bottom w:w="0" w:type="dxa"/>
          </w:tblCellMar>
        </w:tblPrEx>
        <w:trPr>
          <w:tblHeader/>
        </w:trPr>
        <w:tc>
          <w:tcPr>
            <w:tcW w:w="3600"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3937E6F3" w14:textId="77777777" w:rsidR="00FF230E" w:rsidRDefault="00FF230E" w:rsidP="002574B3">
            <w:r>
              <w:rPr>
                <w:b/>
                <w:bCs/>
                <w:color w:val="FFFFFF"/>
                <w:sz w:val="17"/>
                <w:szCs w:val="17"/>
              </w:rPr>
              <w:t>Season / Period</w:t>
            </w:r>
          </w:p>
        </w:tc>
        <w:tc>
          <w:tcPr>
            <w:tcW w:w="1400"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30A3B98B" w14:textId="77777777" w:rsidR="00FF230E" w:rsidRDefault="00FF230E" w:rsidP="002574B3">
            <w:r>
              <w:rPr>
                <w:b/>
                <w:bCs/>
                <w:color w:val="FFFFFF"/>
                <w:sz w:val="17"/>
                <w:szCs w:val="17"/>
              </w:rPr>
              <w:t>Discount</w:t>
            </w:r>
          </w:p>
        </w:tc>
        <w:tc>
          <w:tcPr>
            <w:tcW w:w="5200" w:type="dxa"/>
            <w:tcBorders>
              <w:top w:val="none" w:sz="0" w:space="0" w:color="FFFFFF"/>
              <w:left w:val="none" w:sz="0" w:space="0" w:color="FFFFFF"/>
              <w:bottom w:val="none" w:sz="0" w:space="0" w:color="FFFFFF"/>
              <w:right w:val="none" w:sz="0" w:space="0" w:color="FFFFFF"/>
            </w:tcBorders>
            <w:shd w:val="clear" w:color="auto" w:fill="1F4E79"/>
            <w:tcMar>
              <w:top w:w="70" w:type="dxa"/>
              <w:left w:w="100" w:type="dxa"/>
              <w:bottom w:w="70" w:type="dxa"/>
              <w:right w:w="100" w:type="dxa"/>
            </w:tcMar>
            <w:vAlign w:val="center"/>
          </w:tcPr>
          <w:p w14:paraId="1411C4FE" w14:textId="77777777" w:rsidR="00FF230E" w:rsidRDefault="00FF230E" w:rsidP="002574B3">
            <w:r>
              <w:rPr>
                <w:b/>
                <w:bCs/>
                <w:color w:val="FFFFFF"/>
                <w:sz w:val="17"/>
                <w:szCs w:val="17"/>
              </w:rPr>
              <w:t>Notes</w:t>
            </w:r>
          </w:p>
        </w:tc>
      </w:tr>
      <w:tr w:rsidR="00FF230E" w14:paraId="658ABA83" w14:textId="77777777" w:rsidTr="002574B3">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227B03AE" w14:textId="77777777" w:rsidR="00FF230E" w:rsidRDefault="00FF230E" w:rsidP="002574B3">
            <w:r>
              <w:rPr>
                <w:color w:val="000000"/>
                <w:sz w:val="20"/>
                <w:szCs w:val="20"/>
              </w:rPr>
              <w:t>Summer Season (June – August)</w:t>
            </w:r>
          </w:p>
        </w:tc>
        <w:tc>
          <w:tcPr>
            <w:tcW w:w="1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6448FA28" w14:textId="77777777" w:rsidR="00FF230E" w:rsidRDefault="00FF230E" w:rsidP="002574B3">
            <w:r>
              <w:rPr>
                <w:color w:val="000000"/>
                <w:sz w:val="20"/>
                <w:szCs w:val="20"/>
              </w:rPr>
              <w:t>5%</w:t>
            </w:r>
          </w:p>
        </w:tc>
        <w:tc>
          <w:tcPr>
            <w:tcW w:w="5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vAlign w:val="center"/>
          </w:tcPr>
          <w:p w14:paraId="5EB1C977" w14:textId="77777777" w:rsidR="00FF230E" w:rsidRDefault="00FF230E" w:rsidP="002574B3">
            <w:r>
              <w:rPr>
                <w:color w:val="000000"/>
                <w:sz w:val="20"/>
                <w:szCs w:val="20"/>
              </w:rPr>
              <w:t>Applies to qualifying group stays of 5 or more units</w:t>
            </w:r>
          </w:p>
        </w:tc>
      </w:tr>
      <w:tr w:rsidR="00FF230E" w14:paraId="4A4CE920" w14:textId="77777777" w:rsidTr="002574B3">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16221D17" w14:textId="77777777" w:rsidR="00FF230E" w:rsidRDefault="00FF230E" w:rsidP="002574B3">
            <w:r>
              <w:rPr>
                <w:color w:val="000000"/>
                <w:sz w:val="20"/>
                <w:szCs w:val="20"/>
              </w:rPr>
              <w:t>Shoulder Seasons (Spring &amp; Fall)</w:t>
            </w:r>
          </w:p>
        </w:tc>
        <w:tc>
          <w:tcPr>
            <w:tcW w:w="140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35C2CB9B" w14:textId="77777777" w:rsidR="00FF230E" w:rsidRDefault="00FF230E" w:rsidP="002574B3">
            <w:r>
              <w:rPr>
                <w:color w:val="000000"/>
                <w:sz w:val="20"/>
                <w:szCs w:val="20"/>
              </w:rPr>
              <w:t>10%</w:t>
            </w:r>
          </w:p>
        </w:tc>
        <w:tc>
          <w:tcPr>
            <w:tcW w:w="5200" w:type="dxa"/>
            <w:tcBorders>
              <w:top w:val="single" w:sz="1" w:space="0" w:color="CCCCCC"/>
              <w:left w:val="single" w:sz="1" w:space="0" w:color="CCCCCC"/>
              <w:bottom w:val="single" w:sz="1" w:space="0" w:color="CCCCCC"/>
              <w:right w:val="single" w:sz="1" w:space="0" w:color="CCCCCC"/>
            </w:tcBorders>
            <w:shd w:val="clear" w:color="auto" w:fill="DAE9F7" w:themeFill="text2" w:themeFillTint="1A"/>
            <w:tcMar>
              <w:top w:w="70" w:type="dxa"/>
              <w:left w:w="100" w:type="dxa"/>
              <w:bottom w:w="70" w:type="dxa"/>
              <w:right w:w="100" w:type="dxa"/>
            </w:tcMar>
            <w:vAlign w:val="center"/>
          </w:tcPr>
          <w:p w14:paraId="0D09C165" w14:textId="77777777" w:rsidR="00FF230E" w:rsidRDefault="00FF230E" w:rsidP="002574B3">
            <w:r>
              <w:rPr>
                <w:color w:val="000000"/>
                <w:sz w:val="20"/>
                <w:szCs w:val="20"/>
              </w:rPr>
              <w:t>Applies to qualifying group stays of 5 or more units</w:t>
            </w:r>
          </w:p>
        </w:tc>
      </w:tr>
    </w:tbl>
    <w:p w14:paraId="03985BA0" w14:textId="77777777" w:rsidR="00FF230E" w:rsidRDefault="00FF230E" w:rsidP="00FF230E">
      <w:pPr>
        <w:pStyle w:val="ListParagraph"/>
        <w:numPr>
          <w:ilvl w:val="0"/>
          <w:numId w:val="2"/>
        </w:numPr>
        <w:spacing w:before="160"/>
        <w:contextualSpacing w:val="0"/>
      </w:pPr>
      <w:r>
        <w:t>Group Discounts are not available for stays that include July 4</w:t>
      </w:r>
      <w:r w:rsidRPr="00AE0E7E">
        <w:rPr>
          <w:vertAlign w:val="superscript"/>
        </w:rPr>
        <w:t>th</w:t>
      </w:r>
      <w:r>
        <w:t xml:space="preserve">, Labor Day, Memorial Day, or </w:t>
      </w:r>
      <w:proofErr w:type="spellStart"/>
      <w:r>
        <w:t>Shrimpfest</w:t>
      </w:r>
      <w:proofErr w:type="spellEnd"/>
      <w:r>
        <w:t xml:space="preserve">. </w:t>
      </w:r>
    </w:p>
    <w:p w14:paraId="06FFCB4A" w14:textId="77777777" w:rsidR="00FF230E" w:rsidRDefault="00FF230E" w:rsidP="00FF230E">
      <w:pPr>
        <w:pStyle w:val="Heading1"/>
        <w:pBdr>
          <w:bottom w:val="single" w:sz="8" w:space="4" w:color="2E75B6"/>
        </w:pBdr>
      </w:pPr>
      <w:r>
        <w:rPr>
          <w:rFonts w:ascii="Arial" w:eastAsia="Arial" w:hAnsi="Arial" w:cs="Arial"/>
          <w:b/>
          <w:bCs/>
          <w:color w:val="1F4E79"/>
          <w:sz w:val="28"/>
          <w:szCs w:val="28"/>
        </w:rPr>
        <w:t>Parking for Event Attendees</w:t>
      </w:r>
    </w:p>
    <w:p w14:paraId="1E269846" w14:textId="77777777" w:rsidR="00FF230E" w:rsidRDefault="00FF230E" w:rsidP="00FF230E">
      <w:pPr>
        <w:spacing w:after="120"/>
      </w:pPr>
      <w:r>
        <w:rPr>
          <w:color w:val="000000"/>
        </w:rPr>
        <w:t>Parking availability and any associated charges for attendees who are not staying at the property are determined case-by-case based on building occupancy at the time of the event and the duration of the event. Groups should discuss parking needs with our team at the time of booking.</w:t>
      </w:r>
    </w:p>
    <w:p w14:paraId="49AC665C" w14:textId="77777777" w:rsidR="00FF230E" w:rsidRDefault="00FF230E" w:rsidP="00FF230E">
      <w:pPr>
        <w:spacing w:before="160"/>
      </w:pPr>
    </w:p>
    <w:p w14:paraId="75DFA259" w14:textId="77777777" w:rsidR="00FF230E" w:rsidRDefault="00FF230E" w:rsidP="00FF230E">
      <w:pPr>
        <w:pStyle w:val="Heading1"/>
        <w:pBdr>
          <w:bottom w:val="single" w:sz="8" w:space="4" w:color="2E75B6"/>
        </w:pBdr>
      </w:pPr>
      <w:r>
        <w:rPr>
          <w:rFonts w:ascii="Arial" w:eastAsia="Arial" w:hAnsi="Arial" w:cs="Arial"/>
          <w:b/>
          <w:bCs/>
          <w:color w:val="1F4E79"/>
          <w:sz w:val="28"/>
          <w:szCs w:val="28"/>
        </w:rPr>
        <w:t>Request a Proposal</w:t>
      </w:r>
    </w:p>
    <w:p w14:paraId="1F6422C0" w14:textId="77777777" w:rsidR="00FF230E" w:rsidRDefault="00FF230E" w:rsidP="00FF230E">
      <w:pPr>
        <w:spacing w:after="120"/>
      </w:pPr>
      <w:r>
        <w:rPr>
          <w:color w:val="000000"/>
        </w:rPr>
        <w:t>All group inquiries are handled through our dedicated group sales email. Once received, we will assign a team member who will contact you to build a personalized solution for your group.</w:t>
      </w:r>
    </w:p>
    <w:p w14:paraId="5F95E150" w14:textId="77777777" w:rsidR="00FF230E" w:rsidRDefault="00FF230E" w:rsidP="00FF230E">
      <w:pPr>
        <w:spacing w:before="80"/>
      </w:pPr>
    </w:p>
    <w:p w14:paraId="13F1916F" w14:textId="77777777" w:rsidR="00FF230E" w:rsidRDefault="00FF230E" w:rsidP="00FF230E">
      <w:pPr>
        <w:spacing w:after="80"/>
      </w:pPr>
      <w:r>
        <w:rPr>
          <w:b/>
          <w:bCs/>
          <w:color w:val="000000"/>
        </w:rPr>
        <w:t>Email:  groups@brettrobinson.com</w:t>
      </w:r>
    </w:p>
    <w:p w14:paraId="3564FADC" w14:textId="77777777" w:rsidR="00FF230E" w:rsidRDefault="00FF230E" w:rsidP="00FF230E">
      <w:pPr>
        <w:spacing w:after="80"/>
      </w:pPr>
      <w:r>
        <w:rPr>
          <w:b/>
          <w:bCs/>
          <w:color w:val="000000"/>
        </w:rPr>
        <w:t xml:space="preserve">Group Sales Team:  Roz </w:t>
      </w:r>
      <w:proofErr w:type="gramStart"/>
      <w:r>
        <w:rPr>
          <w:b/>
          <w:bCs/>
          <w:color w:val="000000"/>
        </w:rPr>
        <w:t>Shoots  |</w:t>
      </w:r>
      <w:proofErr w:type="gramEnd"/>
      <w:r>
        <w:rPr>
          <w:b/>
          <w:bCs/>
          <w:color w:val="000000"/>
        </w:rPr>
        <w:t xml:space="preserve">  Linda Alderman</w:t>
      </w:r>
    </w:p>
    <w:p w14:paraId="7DF891D9" w14:textId="77777777" w:rsidR="00FF230E" w:rsidRDefault="00FF230E" w:rsidP="00FF230E">
      <w:pPr>
        <w:spacing w:before="120"/>
      </w:pPr>
    </w:p>
    <w:p w14:paraId="4400406C" w14:textId="77777777" w:rsidR="00FF230E" w:rsidRDefault="00FF230E" w:rsidP="00FF230E">
      <w:pPr>
        <w:pBdr>
          <w:top w:val="single" w:sz="4" w:space="6" w:color="CCCCCC"/>
        </w:pBdr>
        <w:spacing w:before="160" w:after="60"/>
      </w:pPr>
      <w:r>
        <w:rPr>
          <w:i/>
          <w:iCs/>
          <w:color w:val="555555"/>
          <w:sz w:val="17"/>
          <w:szCs w:val="17"/>
        </w:rPr>
        <w:t>Rates, capacity figures, and availability are subject to change. Contact the group sales team for current information and formal proposals.</w:t>
      </w:r>
    </w:p>
    <w:p w14:paraId="6EFE6FD7" w14:textId="77777777" w:rsidR="002A627F" w:rsidRDefault="002A627F"/>
    <w:sectPr w:rsidR="002A627F" w:rsidSect="00FF23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2310"/>
    <w:multiLevelType w:val="hybridMultilevel"/>
    <w:tmpl w:val="9232F2CC"/>
    <w:lvl w:ilvl="0" w:tplc="0494147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42FEE"/>
    <w:multiLevelType w:val="hybridMultilevel"/>
    <w:tmpl w:val="E1EA6560"/>
    <w:lvl w:ilvl="0" w:tplc="B51217E2">
      <w:start w:val="1"/>
      <w:numFmt w:val="bullet"/>
      <w:lvlText w:val="•"/>
      <w:lvlJc w:val="left"/>
      <w:pPr>
        <w:ind w:left="720" w:hanging="360"/>
      </w:pPr>
    </w:lvl>
    <w:lvl w:ilvl="1" w:tplc="7DB40342">
      <w:numFmt w:val="decimal"/>
      <w:lvlText w:val=""/>
      <w:lvlJc w:val="left"/>
    </w:lvl>
    <w:lvl w:ilvl="2" w:tplc="587E41AE">
      <w:numFmt w:val="decimal"/>
      <w:lvlText w:val=""/>
      <w:lvlJc w:val="left"/>
    </w:lvl>
    <w:lvl w:ilvl="3" w:tplc="00DC7816">
      <w:numFmt w:val="decimal"/>
      <w:lvlText w:val=""/>
      <w:lvlJc w:val="left"/>
    </w:lvl>
    <w:lvl w:ilvl="4" w:tplc="465E1014">
      <w:numFmt w:val="decimal"/>
      <w:lvlText w:val=""/>
      <w:lvlJc w:val="left"/>
    </w:lvl>
    <w:lvl w:ilvl="5" w:tplc="1E3A082C">
      <w:numFmt w:val="decimal"/>
      <w:lvlText w:val=""/>
      <w:lvlJc w:val="left"/>
    </w:lvl>
    <w:lvl w:ilvl="6" w:tplc="CC98971E">
      <w:numFmt w:val="decimal"/>
      <w:lvlText w:val=""/>
      <w:lvlJc w:val="left"/>
    </w:lvl>
    <w:lvl w:ilvl="7" w:tplc="E1BA5C96">
      <w:numFmt w:val="decimal"/>
      <w:lvlText w:val=""/>
      <w:lvlJc w:val="left"/>
    </w:lvl>
    <w:lvl w:ilvl="8" w:tplc="42D41C10">
      <w:numFmt w:val="decimal"/>
      <w:lvlText w:val=""/>
      <w:lvlJc w:val="left"/>
    </w:lvl>
  </w:abstractNum>
  <w:num w:numId="1" w16cid:durableId="298002252">
    <w:abstractNumId w:val="1"/>
    <w:lvlOverride w:ilvl="0">
      <w:startOverride w:val="1"/>
    </w:lvlOverride>
  </w:num>
  <w:num w:numId="2" w16cid:durableId="68625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0E"/>
    <w:rsid w:val="00016D14"/>
    <w:rsid w:val="002A627F"/>
    <w:rsid w:val="002D5D26"/>
    <w:rsid w:val="002F4AD0"/>
    <w:rsid w:val="00373DB7"/>
    <w:rsid w:val="00420264"/>
    <w:rsid w:val="004635AF"/>
    <w:rsid w:val="00942DA0"/>
    <w:rsid w:val="00981674"/>
    <w:rsid w:val="009E0C8C"/>
    <w:rsid w:val="00A06B36"/>
    <w:rsid w:val="00B64A3C"/>
    <w:rsid w:val="00CE5E2A"/>
    <w:rsid w:val="00D11B55"/>
    <w:rsid w:val="00D4513E"/>
    <w:rsid w:val="00E15B2A"/>
    <w:rsid w:val="00E6680B"/>
    <w:rsid w:val="00FA1740"/>
    <w:rsid w:val="00FF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97BC"/>
  <w15:chartTrackingRefBased/>
  <w15:docId w15:val="{011B6B08-1C74-4563-83DD-E42D005D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30E"/>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F2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2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3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3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3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3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30E"/>
    <w:rPr>
      <w:rFonts w:eastAsiaTheme="majorEastAsia" w:cstheme="majorBidi"/>
      <w:color w:val="272727" w:themeColor="text1" w:themeTint="D8"/>
    </w:rPr>
  </w:style>
  <w:style w:type="paragraph" w:styleId="Title">
    <w:name w:val="Title"/>
    <w:basedOn w:val="Normal"/>
    <w:next w:val="Normal"/>
    <w:link w:val="TitleChar"/>
    <w:uiPriority w:val="10"/>
    <w:qFormat/>
    <w:rsid w:val="00FF23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30E"/>
    <w:pPr>
      <w:spacing w:before="160"/>
      <w:jc w:val="center"/>
    </w:pPr>
    <w:rPr>
      <w:i/>
      <w:iCs/>
      <w:color w:val="404040" w:themeColor="text1" w:themeTint="BF"/>
    </w:rPr>
  </w:style>
  <w:style w:type="character" w:customStyle="1" w:styleId="QuoteChar">
    <w:name w:val="Quote Char"/>
    <w:basedOn w:val="DefaultParagraphFont"/>
    <w:link w:val="Quote"/>
    <w:uiPriority w:val="29"/>
    <w:rsid w:val="00FF230E"/>
    <w:rPr>
      <w:i/>
      <w:iCs/>
      <w:color w:val="404040" w:themeColor="text1" w:themeTint="BF"/>
    </w:rPr>
  </w:style>
  <w:style w:type="paragraph" w:styleId="ListParagraph">
    <w:name w:val="List Paragraph"/>
    <w:basedOn w:val="Normal"/>
    <w:qFormat/>
    <w:rsid w:val="00FF230E"/>
    <w:pPr>
      <w:ind w:left="720"/>
      <w:contextualSpacing/>
    </w:pPr>
  </w:style>
  <w:style w:type="character" w:styleId="IntenseEmphasis">
    <w:name w:val="Intense Emphasis"/>
    <w:basedOn w:val="DefaultParagraphFont"/>
    <w:uiPriority w:val="21"/>
    <w:qFormat/>
    <w:rsid w:val="00FF230E"/>
    <w:rPr>
      <w:i/>
      <w:iCs/>
      <w:color w:val="0F4761" w:themeColor="accent1" w:themeShade="BF"/>
    </w:rPr>
  </w:style>
  <w:style w:type="paragraph" w:styleId="IntenseQuote">
    <w:name w:val="Intense Quote"/>
    <w:basedOn w:val="Normal"/>
    <w:next w:val="Normal"/>
    <w:link w:val="IntenseQuoteChar"/>
    <w:uiPriority w:val="30"/>
    <w:qFormat/>
    <w:rsid w:val="00FF2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30E"/>
    <w:rPr>
      <w:i/>
      <w:iCs/>
      <w:color w:val="0F4761" w:themeColor="accent1" w:themeShade="BF"/>
    </w:rPr>
  </w:style>
  <w:style w:type="character" w:styleId="IntenseReference">
    <w:name w:val="Intense Reference"/>
    <w:basedOn w:val="DefaultParagraphFont"/>
    <w:uiPriority w:val="32"/>
    <w:qFormat/>
    <w:rsid w:val="00FF23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960</Words>
  <Characters>4513</Characters>
  <Application>Microsoft Office Word</Application>
  <DocSecurity>0</DocSecurity>
  <Lines>410</Lines>
  <Paragraphs>364</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Widner</dc:creator>
  <cp:keywords/>
  <dc:description/>
  <cp:lastModifiedBy>Billy Widner</cp:lastModifiedBy>
  <cp:revision>1</cp:revision>
  <dcterms:created xsi:type="dcterms:W3CDTF">2026-06-26T21:06:00Z</dcterms:created>
  <dcterms:modified xsi:type="dcterms:W3CDTF">2026-06-26T21:12:00Z</dcterms:modified>
</cp:coreProperties>
</file>